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DC509" w14:textId="3F11695B" w:rsidR="0019677C" w:rsidRPr="002F5252" w:rsidRDefault="0019677C">
      <w:pPr>
        <w:rPr>
          <w:b/>
          <w:bCs/>
          <w:sz w:val="28"/>
          <w:szCs w:val="28"/>
          <w:lang w:val="en-GB"/>
        </w:rPr>
      </w:pPr>
      <w:proofErr w:type="spellStart"/>
      <w:r w:rsidRPr="002F5252">
        <w:rPr>
          <w:b/>
          <w:bCs/>
          <w:sz w:val="28"/>
          <w:szCs w:val="28"/>
          <w:lang w:val="en-GB"/>
        </w:rPr>
        <w:t>YouSaveOurWorld</w:t>
      </w:r>
      <w:proofErr w:type="spellEnd"/>
      <w:r w:rsidRPr="002F5252">
        <w:rPr>
          <w:b/>
          <w:bCs/>
          <w:sz w:val="28"/>
          <w:szCs w:val="28"/>
          <w:lang w:val="en-GB"/>
        </w:rPr>
        <w:t xml:space="preserve"> Whitepaper</w:t>
      </w:r>
    </w:p>
    <w:p w14:paraId="23CD4B8F" w14:textId="77777777" w:rsidR="0019677C" w:rsidRPr="002F5252" w:rsidRDefault="0019677C">
      <w:pPr>
        <w:rPr>
          <w:b/>
          <w:bCs/>
          <w:sz w:val="28"/>
          <w:szCs w:val="28"/>
          <w:lang w:val="en-GB"/>
        </w:rPr>
      </w:pPr>
    </w:p>
    <w:p w14:paraId="17F79CA3" w14:textId="1109DAD7" w:rsidR="0019677C" w:rsidRPr="002F5252" w:rsidRDefault="0019677C" w:rsidP="0019677C">
      <w:pPr>
        <w:rPr>
          <w:b/>
          <w:bCs/>
          <w:sz w:val="28"/>
          <w:szCs w:val="28"/>
          <w:lang w:val="en-GB"/>
        </w:rPr>
      </w:pPr>
      <w:r w:rsidRPr="002F5252">
        <w:rPr>
          <w:b/>
          <w:bCs/>
          <w:sz w:val="28"/>
          <w:szCs w:val="28"/>
          <w:lang w:val="en-GB"/>
        </w:rPr>
        <w:t xml:space="preserve">Written by the Editorial team at </w:t>
      </w:r>
      <w:proofErr w:type="spellStart"/>
      <w:r w:rsidRPr="002F5252">
        <w:rPr>
          <w:b/>
          <w:bCs/>
          <w:sz w:val="28"/>
          <w:szCs w:val="28"/>
          <w:lang w:val="en-GB"/>
        </w:rPr>
        <w:t>YouSaveOurWorld</w:t>
      </w:r>
      <w:proofErr w:type="spellEnd"/>
    </w:p>
    <w:p w14:paraId="7249ABB2" w14:textId="77777777" w:rsidR="0019677C" w:rsidRPr="002F5252" w:rsidRDefault="0019677C" w:rsidP="0019677C">
      <w:pPr>
        <w:rPr>
          <w:b/>
          <w:bCs/>
          <w:sz w:val="28"/>
          <w:szCs w:val="28"/>
          <w:lang w:val="en-GB"/>
        </w:rPr>
      </w:pPr>
    </w:p>
    <w:p w14:paraId="137BC692" w14:textId="34C701C9" w:rsidR="006643B0" w:rsidRPr="002F5252" w:rsidRDefault="0019677C" w:rsidP="006643B0">
      <w:pPr>
        <w:rPr>
          <w:b/>
          <w:bCs/>
          <w:sz w:val="28"/>
          <w:szCs w:val="28"/>
          <w:lang w:val="en-GB"/>
        </w:rPr>
      </w:pPr>
      <w:r w:rsidRPr="002F5252">
        <w:rPr>
          <w:b/>
          <w:bCs/>
          <w:sz w:val="28"/>
          <w:szCs w:val="28"/>
          <w:lang w:val="en-GB"/>
        </w:rPr>
        <w:t xml:space="preserve">Date: April 2025 </w:t>
      </w:r>
    </w:p>
    <w:p w14:paraId="1CC21366" w14:textId="71C20868" w:rsidR="0019677C" w:rsidRPr="002F5252" w:rsidRDefault="006D4B0B" w:rsidP="001A2E7F">
      <w:pPr>
        <w:pStyle w:val="NormalWeb"/>
        <w:rPr>
          <w:sz w:val="28"/>
          <w:szCs w:val="28"/>
        </w:rPr>
      </w:pPr>
      <w:r w:rsidRPr="002F5252">
        <w:rPr>
          <w:sz w:val="28"/>
          <w:szCs w:val="28"/>
        </w:rPr>
        <w:fldChar w:fldCharType="begin"/>
      </w:r>
      <w:r w:rsidRPr="002F5252">
        <w:rPr>
          <w:sz w:val="28"/>
          <w:szCs w:val="28"/>
        </w:rPr>
        <w:instrText xml:space="preserve"> INCLUDEPICTURE "https://www.gpca.org.ae/wp-content/uploads/2020/11/Figure_1.jpg" \* MERGEFORMATINET </w:instrText>
      </w:r>
      <w:r w:rsidRPr="002F5252">
        <w:rPr>
          <w:sz w:val="28"/>
          <w:szCs w:val="28"/>
        </w:rPr>
        <w:fldChar w:fldCharType="separate"/>
      </w:r>
      <w:r w:rsidRPr="002F5252">
        <w:rPr>
          <w:noProof/>
          <w:sz w:val="28"/>
          <w:szCs w:val="28"/>
        </w:rPr>
        <w:drawing>
          <wp:inline distT="0" distB="0" distL="0" distR="0" wp14:anchorId="6E9F16EE" wp14:editId="47AB8771">
            <wp:extent cx="5731510" cy="3227705"/>
            <wp:effectExtent l="0" t="0" r="0" b="0"/>
            <wp:docPr id="1060875588" name="Picture 4" descr="How a Circular Economy for plastics can help the GCC realize 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ow a Circular Economy for plastics can help the GCC realize its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227705"/>
                    </a:xfrm>
                    <a:prstGeom prst="rect">
                      <a:avLst/>
                    </a:prstGeom>
                    <a:noFill/>
                    <a:ln>
                      <a:noFill/>
                    </a:ln>
                  </pic:spPr>
                </pic:pic>
              </a:graphicData>
            </a:graphic>
          </wp:inline>
        </w:drawing>
      </w:r>
      <w:r w:rsidRPr="002F5252">
        <w:rPr>
          <w:sz w:val="28"/>
          <w:szCs w:val="28"/>
        </w:rPr>
        <w:fldChar w:fldCharType="end"/>
      </w:r>
    </w:p>
    <w:p w14:paraId="481195C3" w14:textId="77777777" w:rsidR="007274F1" w:rsidRPr="002F5252" w:rsidRDefault="007274F1" w:rsidP="007274F1">
      <w:pPr>
        <w:pStyle w:val="Heading1"/>
        <w:rPr>
          <w:rFonts w:ascii="Times New Roman" w:hAnsi="Times New Roman" w:cs="Times New Roman"/>
          <w:b/>
          <w:bCs/>
          <w:color w:val="auto"/>
          <w:sz w:val="28"/>
          <w:szCs w:val="28"/>
        </w:rPr>
      </w:pPr>
      <w:r w:rsidRPr="002F5252">
        <w:rPr>
          <w:rFonts w:ascii="Times New Roman" w:hAnsi="Times New Roman" w:cs="Times New Roman"/>
          <w:b/>
          <w:bCs/>
          <w:color w:val="auto"/>
          <w:sz w:val="28"/>
          <w:szCs w:val="28"/>
        </w:rPr>
        <w:t>The State of Plastic Recycling in 2025: Global Trends and Regional Insights</w:t>
      </w:r>
    </w:p>
    <w:p w14:paraId="65AB40A4" w14:textId="77777777" w:rsidR="007274F1" w:rsidRPr="002F5252" w:rsidRDefault="007274F1" w:rsidP="007274F1">
      <w:pPr>
        <w:pStyle w:val="NormalWeb"/>
        <w:rPr>
          <w:sz w:val="28"/>
          <w:szCs w:val="28"/>
        </w:rPr>
      </w:pPr>
      <w:r w:rsidRPr="002F5252">
        <w:rPr>
          <w:sz w:val="28"/>
          <w:szCs w:val="28"/>
        </w:rPr>
        <w:t xml:space="preserve">In 2025, plastic recycling stands at a pivotal crossroads. Decades of rising plastic production have culminated in a </w:t>
      </w:r>
      <w:r w:rsidRPr="002F5252">
        <w:rPr>
          <w:rStyle w:val="Strong"/>
          <w:rFonts w:eastAsiaTheme="majorEastAsia"/>
          <w:sz w:val="28"/>
          <w:szCs w:val="28"/>
        </w:rPr>
        <w:t>global waste crisis</w:t>
      </w:r>
      <w:r w:rsidRPr="002F5252">
        <w:rPr>
          <w:sz w:val="28"/>
          <w:szCs w:val="28"/>
        </w:rPr>
        <w:t xml:space="preserve"> that challenges waste management systems on every continent. At </w:t>
      </w:r>
      <w:proofErr w:type="spellStart"/>
      <w:r w:rsidRPr="002F5252">
        <w:rPr>
          <w:rStyle w:val="Strong"/>
          <w:rFonts w:eastAsiaTheme="majorEastAsia"/>
          <w:sz w:val="28"/>
          <w:szCs w:val="28"/>
        </w:rPr>
        <w:t>YouSaveOurWorld</w:t>
      </w:r>
      <w:proofErr w:type="spellEnd"/>
      <w:r w:rsidRPr="002F5252">
        <w:rPr>
          <w:sz w:val="28"/>
          <w:szCs w:val="28"/>
        </w:rPr>
        <w:t xml:space="preserve">, our mission is to empower with reliable information and foster collective action towards sustainability. This whitepaper provides an authoritative analysis of plastic recycling worldwide—examining current statistics, regional performances, and future forecasts—to illuminate where progress is being made and where critical gaps remain. Plastic pollution is now recognized as a </w:t>
      </w:r>
      <w:r w:rsidRPr="002F5252">
        <w:rPr>
          <w:rStyle w:val="Strong"/>
          <w:rFonts w:eastAsiaTheme="majorEastAsia"/>
          <w:sz w:val="28"/>
          <w:szCs w:val="28"/>
        </w:rPr>
        <w:t>formidable environmental challenge</w:t>
      </w:r>
      <w:r w:rsidRPr="002F5252">
        <w:rPr>
          <w:sz w:val="28"/>
          <w:szCs w:val="28"/>
        </w:rPr>
        <w:t>, and understanding the present state of recycling is essential for shaping effective solutions.</w:t>
      </w:r>
    </w:p>
    <w:p w14:paraId="1F8E7E4E" w14:textId="0F2AB91C" w:rsidR="006D4B0B" w:rsidRPr="002F5252" w:rsidRDefault="006D4B0B" w:rsidP="007274F1">
      <w:pPr>
        <w:pStyle w:val="NormalWeb"/>
        <w:rPr>
          <w:sz w:val="28"/>
          <w:szCs w:val="28"/>
        </w:rPr>
      </w:pPr>
      <w:r w:rsidRPr="002F5252">
        <w:rPr>
          <w:sz w:val="28"/>
          <w:szCs w:val="28"/>
        </w:rPr>
        <w:lastRenderedPageBreak/>
        <w:fldChar w:fldCharType="begin"/>
      </w:r>
      <w:r w:rsidRPr="002F5252">
        <w:rPr>
          <w:sz w:val="28"/>
          <w:szCs w:val="28"/>
        </w:rPr>
        <w:instrText xml:space="preserve"> INCLUDEPICTURE "https://harmony1.com/wp-content/uploads/2013/05/4554778626_8a3be40342_o.jpg" \* MERGEFORMATINET </w:instrText>
      </w:r>
      <w:r w:rsidRPr="002F5252">
        <w:rPr>
          <w:sz w:val="28"/>
          <w:szCs w:val="28"/>
        </w:rPr>
        <w:fldChar w:fldCharType="separate"/>
      </w:r>
      <w:r w:rsidRPr="002F5252">
        <w:rPr>
          <w:noProof/>
          <w:sz w:val="28"/>
          <w:szCs w:val="28"/>
        </w:rPr>
        <w:drawing>
          <wp:inline distT="0" distB="0" distL="0" distR="0" wp14:anchorId="4D0BA193" wp14:editId="56B23F14">
            <wp:extent cx="4730115" cy="8863330"/>
            <wp:effectExtent l="0" t="0" r="0" b="1270"/>
            <wp:docPr id="269030625" name="Picture 1" descr="The Global Face of Recycling Infographic - Harmo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he Global Face of Recycling Infographic - Harmon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0115" cy="8863330"/>
                    </a:xfrm>
                    <a:prstGeom prst="rect">
                      <a:avLst/>
                    </a:prstGeom>
                    <a:noFill/>
                    <a:ln>
                      <a:noFill/>
                    </a:ln>
                  </pic:spPr>
                </pic:pic>
              </a:graphicData>
            </a:graphic>
          </wp:inline>
        </w:drawing>
      </w:r>
      <w:r w:rsidRPr="002F5252">
        <w:rPr>
          <w:sz w:val="28"/>
          <w:szCs w:val="28"/>
        </w:rPr>
        <w:fldChar w:fldCharType="end"/>
      </w:r>
    </w:p>
    <w:p w14:paraId="75DBB582" w14:textId="77777777" w:rsidR="007274F1" w:rsidRPr="002F5252" w:rsidRDefault="007274F1" w:rsidP="007274F1">
      <w:pPr>
        <w:pStyle w:val="Heading2"/>
        <w:rPr>
          <w:rFonts w:ascii="Times New Roman" w:hAnsi="Times New Roman" w:cs="Times New Roman"/>
          <w:color w:val="auto"/>
          <w:sz w:val="28"/>
          <w:szCs w:val="28"/>
        </w:rPr>
      </w:pPr>
      <w:r w:rsidRPr="002F5252">
        <w:rPr>
          <w:rFonts w:ascii="Times New Roman" w:hAnsi="Times New Roman" w:cs="Times New Roman"/>
          <w:color w:val="auto"/>
          <w:sz w:val="28"/>
          <w:szCs w:val="28"/>
        </w:rPr>
        <w:lastRenderedPageBreak/>
        <w:t>Global Overview of Plastic Recycling (2025)</w:t>
      </w:r>
    </w:p>
    <w:p w14:paraId="08CF2594" w14:textId="77777777" w:rsidR="007274F1" w:rsidRPr="002F5252" w:rsidRDefault="007274F1" w:rsidP="007274F1">
      <w:pPr>
        <w:pStyle w:val="NormalWeb"/>
        <w:rPr>
          <w:sz w:val="28"/>
          <w:szCs w:val="28"/>
        </w:rPr>
      </w:pPr>
      <w:r w:rsidRPr="002F5252">
        <w:rPr>
          <w:sz w:val="28"/>
          <w:szCs w:val="28"/>
        </w:rPr>
        <w:t>Worldwide plastic production and waste have reached unprecedented levels. According to Our World in Data (</w:t>
      </w:r>
      <w:hyperlink r:id="rId7" w:history="1">
        <w:r w:rsidRPr="002F5252">
          <w:rPr>
            <w:rStyle w:val="Hyperlink"/>
            <w:rFonts w:eastAsiaTheme="majorEastAsia"/>
            <w:color w:val="auto"/>
            <w:sz w:val="28"/>
            <w:szCs w:val="28"/>
          </w:rPr>
          <w:t>https://ourworldindata.org/plastic-pollution</w:t>
        </w:r>
      </w:hyperlink>
      <w:r w:rsidRPr="002F5252">
        <w:rPr>
          <w:sz w:val="28"/>
          <w:szCs w:val="28"/>
        </w:rPr>
        <w:t xml:space="preserve">), the world now produces over </w:t>
      </w:r>
      <w:r w:rsidRPr="002F5252">
        <w:rPr>
          <w:rStyle w:val="Strong"/>
          <w:rFonts w:eastAsiaTheme="majorEastAsia"/>
          <w:sz w:val="28"/>
          <w:szCs w:val="28"/>
        </w:rPr>
        <w:t>450 million tonnes of plastics annually</w:t>
      </w:r>
      <w:r w:rsidRPr="002F5252">
        <w:rPr>
          <w:sz w:val="28"/>
          <w:szCs w:val="28"/>
        </w:rPr>
        <w:t xml:space="preserve">, a figure that has doubled since the beginning of the century. Yet </w:t>
      </w:r>
      <w:r w:rsidRPr="002F5252">
        <w:rPr>
          <w:rStyle w:val="Strong"/>
          <w:rFonts w:eastAsiaTheme="majorEastAsia"/>
          <w:sz w:val="28"/>
          <w:szCs w:val="28"/>
        </w:rPr>
        <w:t>only about 9 percent of plastic waste is recycled globally</w:t>
      </w:r>
      <w:r w:rsidRPr="002F5252">
        <w:rPr>
          <w:sz w:val="28"/>
          <w:szCs w:val="28"/>
        </w:rPr>
        <w:t>. The United Nations Environment Programme’s Global Plastics Outlook (</w:t>
      </w:r>
      <w:hyperlink r:id="rId8" w:history="1">
        <w:r w:rsidRPr="002F5252">
          <w:rPr>
            <w:rStyle w:val="Hyperlink"/>
            <w:rFonts w:eastAsiaTheme="majorEastAsia"/>
            <w:color w:val="auto"/>
            <w:sz w:val="28"/>
            <w:szCs w:val="28"/>
          </w:rPr>
          <w:t>https://www.unep.org/resources/report/global-plastics-outlook</w:t>
        </w:r>
      </w:hyperlink>
      <w:r w:rsidRPr="002F5252">
        <w:rPr>
          <w:sz w:val="28"/>
          <w:szCs w:val="28"/>
        </w:rPr>
        <w:t xml:space="preserve">) confirms that roughly half of all plastic waste ends up in landfills, about one-fifth is incinerated, and the rest is </w:t>
      </w:r>
      <w:r w:rsidRPr="002F5252">
        <w:rPr>
          <w:rStyle w:val="Strong"/>
          <w:rFonts w:eastAsiaTheme="majorEastAsia"/>
          <w:sz w:val="28"/>
          <w:szCs w:val="28"/>
        </w:rPr>
        <w:t>“mismanaged”</w:t>
      </w:r>
      <w:r w:rsidRPr="002F5252">
        <w:rPr>
          <w:sz w:val="28"/>
          <w:szCs w:val="28"/>
        </w:rPr>
        <w:t xml:space="preserve">—dumped or leaked into the environment, </w:t>
      </w:r>
      <w:proofErr w:type="spellStart"/>
      <w:r w:rsidRPr="002F5252">
        <w:rPr>
          <w:sz w:val="28"/>
          <w:szCs w:val="28"/>
        </w:rPr>
        <w:t>fueling</w:t>
      </w:r>
      <w:proofErr w:type="spellEnd"/>
      <w:r w:rsidRPr="002F5252">
        <w:rPr>
          <w:sz w:val="28"/>
          <w:szCs w:val="28"/>
        </w:rPr>
        <w:t xml:space="preserve"> the pollution of oceans and landscapes.</w:t>
      </w:r>
    </w:p>
    <w:p w14:paraId="0DE16115" w14:textId="77777777" w:rsidR="007274F1" w:rsidRPr="002F5252" w:rsidRDefault="007274F1" w:rsidP="007274F1">
      <w:pPr>
        <w:pStyle w:val="NormalWeb"/>
        <w:rPr>
          <w:sz w:val="28"/>
          <w:szCs w:val="28"/>
        </w:rPr>
      </w:pPr>
      <w:r w:rsidRPr="002F5252">
        <w:rPr>
          <w:sz w:val="28"/>
          <w:szCs w:val="28"/>
        </w:rPr>
        <w:t xml:space="preserve">Why is recycling lagging even as concern grows? One issue is that </w:t>
      </w:r>
      <w:r w:rsidRPr="002F5252">
        <w:rPr>
          <w:rStyle w:val="Strong"/>
          <w:rFonts w:eastAsiaTheme="majorEastAsia"/>
          <w:sz w:val="28"/>
          <w:szCs w:val="28"/>
        </w:rPr>
        <w:t>new (“virgin”) plastic remains cheaper to produce than recycled plastic</w:t>
      </w:r>
      <w:r w:rsidRPr="002F5252">
        <w:rPr>
          <w:sz w:val="28"/>
          <w:szCs w:val="28"/>
        </w:rPr>
        <w:t>, due to low fossil-fuel prices and economies of scale as highlighted by the OECD’s plastics analysis (</w:t>
      </w:r>
      <w:hyperlink r:id="rId9" w:history="1">
        <w:r w:rsidRPr="002F5252">
          <w:rPr>
            <w:rStyle w:val="Hyperlink"/>
            <w:rFonts w:eastAsiaTheme="majorEastAsia"/>
            <w:color w:val="auto"/>
            <w:sz w:val="28"/>
            <w:szCs w:val="28"/>
          </w:rPr>
          <w:t>https://www.oecd.org/environment/plastics</w:t>
        </w:r>
      </w:hyperlink>
      <w:r w:rsidRPr="002F5252">
        <w:rPr>
          <w:sz w:val="28"/>
          <w:szCs w:val="28"/>
        </w:rPr>
        <w:t xml:space="preserve">). Contamination of waste (food residues, mixed materials) and the complexity of modern plastics (multilayer packaging, diverse additives) mean much plastic cannot be easily or economically recycled. As a result, most new plastic is still made from petrochemicals rather than recycled feedstock—only </w:t>
      </w:r>
      <w:r w:rsidRPr="002F5252">
        <w:rPr>
          <w:rStyle w:val="Strong"/>
          <w:rFonts w:eastAsiaTheme="majorEastAsia"/>
          <w:sz w:val="28"/>
          <w:szCs w:val="28"/>
        </w:rPr>
        <w:t>9.5 percent of the 400 million tonnes of new plastic in 2022</w:t>
      </w:r>
      <w:r w:rsidRPr="002F5252">
        <w:rPr>
          <w:sz w:val="28"/>
          <w:szCs w:val="28"/>
        </w:rPr>
        <w:t xml:space="preserve"> was from recycled material. These sobering global trends echo the </w:t>
      </w:r>
      <w:r w:rsidRPr="002F5252">
        <w:rPr>
          <w:rStyle w:val="Strong"/>
          <w:rFonts w:eastAsiaTheme="majorEastAsia"/>
          <w:sz w:val="28"/>
          <w:szCs w:val="28"/>
        </w:rPr>
        <w:t>linear disposable culture</w:t>
      </w:r>
      <w:r w:rsidRPr="002F5252">
        <w:rPr>
          <w:sz w:val="28"/>
          <w:szCs w:val="28"/>
        </w:rPr>
        <w:t xml:space="preserve"> our planet has followed for decades, and they set the stage for the regional snapshots that follow.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7"/>
        <w:gridCol w:w="2930"/>
      </w:tblGrid>
      <w:tr w:rsidR="007274F1" w:rsidRPr="002F5252" w14:paraId="61F44EF5" w14:textId="77777777" w:rsidTr="007274F1">
        <w:trPr>
          <w:tblHeader/>
          <w:tblCellSpacing w:w="15" w:type="dxa"/>
        </w:trPr>
        <w:tc>
          <w:tcPr>
            <w:tcW w:w="0" w:type="auto"/>
            <w:vAlign w:val="center"/>
            <w:hideMark/>
          </w:tcPr>
          <w:p w14:paraId="1A560C97" w14:textId="77777777" w:rsidR="007274F1" w:rsidRPr="002F5252" w:rsidRDefault="007274F1">
            <w:pPr>
              <w:jc w:val="center"/>
              <w:rPr>
                <w:b/>
                <w:bCs/>
                <w:sz w:val="28"/>
                <w:szCs w:val="28"/>
              </w:rPr>
            </w:pPr>
            <w:r w:rsidRPr="002F5252">
              <w:rPr>
                <w:rStyle w:val="Strong"/>
                <w:rFonts w:eastAsiaTheme="majorEastAsia"/>
                <w:sz w:val="28"/>
                <w:szCs w:val="28"/>
              </w:rPr>
              <w:t>Region/Country</w:t>
            </w:r>
          </w:p>
        </w:tc>
        <w:tc>
          <w:tcPr>
            <w:tcW w:w="0" w:type="auto"/>
            <w:vAlign w:val="center"/>
            <w:hideMark/>
          </w:tcPr>
          <w:p w14:paraId="722DCBE7" w14:textId="77777777" w:rsidR="007274F1" w:rsidRPr="002F5252" w:rsidRDefault="007274F1">
            <w:pPr>
              <w:jc w:val="center"/>
              <w:rPr>
                <w:b/>
                <w:bCs/>
                <w:sz w:val="28"/>
                <w:szCs w:val="28"/>
              </w:rPr>
            </w:pPr>
            <w:r w:rsidRPr="002F5252">
              <w:rPr>
                <w:rStyle w:val="Strong"/>
                <w:rFonts w:eastAsiaTheme="majorEastAsia"/>
                <w:sz w:val="28"/>
                <w:szCs w:val="28"/>
              </w:rPr>
              <w:t>Approx. Recycling Rate</w:t>
            </w:r>
          </w:p>
        </w:tc>
      </w:tr>
      <w:tr w:rsidR="007274F1" w:rsidRPr="002F5252" w14:paraId="6DE90EE1" w14:textId="77777777" w:rsidTr="007274F1">
        <w:trPr>
          <w:tblCellSpacing w:w="15" w:type="dxa"/>
        </w:trPr>
        <w:tc>
          <w:tcPr>
            <w:tcW w:w="0" w:type="auto"/>
            <w:vAlign w:val="center"/>
            <w:hideMark/>
          </w:tcPr>
          <w:p w14:paraId="7485F860" w14:textId="77777777" w:rsidR="007274F1" w:rsidRPr="002F5252" w:rsidRDefault="007274F1">
            <w:pPr>
              <w:rPr>
                <w:sz w:val="28"/>
                <w:szCs w:val="28"/>
              </w:rPr>
            </w:pPr>
            <w:r w:rsidRPr="002F5252">
              <w:rPr>
                <w:rStyle w:val="Strong"/>
                <w:rFonts w:eastAsiaTheme="majorEastAsia"/>
                <w:sz w:val="28"/>
                <w:szCs w:val="28"/>
              </w:rPr>
              <w:t>Global (average)</w:t>
            </w:r>
          </w:p>
        </w:tc>
        <w:tc>
          <w:tcPr>
            <w:tcW w:w="0" w:type="auto"/>
            <w:vAlign w:val="center"/>
            <w:hideMark/>
          </w:tcPr>
          <w:p w14:paraId="52965FE1" w14:textId="77777777" w:rsidR="007274F1" w:rsidRPr="002F5252" w:rsidRDefault="007274F1">
            <w:pPr>
              <w:rPr>
                <w:sz w:val="28"/>
                <w:szCs w:val="28"/>
              </w:rPr>
            </w:pPr>
            <w:r w:rsidRPr="002F5252">
              <w:rPr>
                <w:sz w:val="28"/>
                <w:szCs w:val="28"/>
              </w:rPr>
              <w:t>~9 percent</w:t>
            </w:r>
          </w:p>
        </w:tc>
      </w:tr>
      <w:tr w:rsidR="007274F1" w:rsidRPr="002F5252" w14:paraId="7F227314" w14:textId="77777777" w:rsidTr="007274F1">
        <w:trPr>
          <w:tblCellSpacing w:w="15" w:type="dxa"/>
        </w:trPr>
        <w:tc>
          <w:tcPr>
            <w:tcW w:w="0" w:type="auto"/>
            <w:vAlign w:val="center"/>
            <w:hideMark/>
          </w:tcPr>
          <w:p w14:paraId="20ECCD45" w14:textId="77777777" w:rsidR="007274F1" w:rsidRPr="002F5252" w:rsidRDefault="007274F1">
            <w:pPr>
              <w:rPr>
                <w:sz w:val="28"/>
                <w:szCs w:val="28"/>
              </w:rPr>
            </w:pPr>
            <w:r w:rsidRPr="002F5252">
              <w:rPr>
                <w:rStyle w:val="Strong"/>
                <w:rFonts w:eastAsiaTheme="majorEastAsia"/>
                <w:sz w:val="28"/>
                <w:szCs w:val="28"/>
              </w:rPr>
              <w:t>United States</w:t>
            </w:r>
          </w:p>
        </w:tc>
        <w:tc>
          <w:tcPr>
            <w:tcW w:w="0" w:type="auto"/>
            <w:vAlign w:val="center"/>
            <w:hideMark/>
          </w:tcPr>
          <w:p w14:paraId="378B8963" w14:textId="77777777" w:rsidR="007274F1" w:rsidRPr="002F5252" w:rsidRDefault="007274F1">
            <w:pPr>
              <w:rPr>
                <w:sz w:val="28"/>
                <w:szCs w:val="28"/>
              </w:rPr>
            </w:pPr>
            <w:r w:rsidRPr="002F5252">
              <w:rPr>
                <w:sz w:val="28"/>
                <w:szCs w:val="28"/>
              </w:rPr>
              <w:t>~5 percent</w:t>
            </w:r>
          </w:p>
        </w:tc>
      </w:tr>
      <w:tr w:rsidR="007274F1" w:rsidRPr="002F5252" w14:paraId="5F0C1ED4" w14:textId="77777777" w:rsidTr="007274F1">
        <w:trPr>
          <w:tblCellSpacing w:w="15" w:type="dxa"/>
        </w:trPr>
        <w:tc>
          <w:tcPr>
            <w:tcW w:w="0" w:type="auto"/>
            <w:vAlign w:val="center"/>
            <w:hideMark/>
          </w:tcPr>
          <w:p w14:paraId="67A5B77B" w14:textId="77777777" w:rsidR="007274F1" w:rsidRPr="002F5252" w:rsidRDefault="007274F1">
            <w:pPr>
              <w:rPr>
                <w:sz w:val="28"/>
                <w:szCs w:val="28"/>
              </w:rPr>
            </w:pPr>
            <w:r w:rsidRPr="002F5252">
              <w:rPr>
                <w:rStyle w:val="Strong"/>
                <w:rFonts w:eastAsiaTheme="majorEastAsia"/>
                <w:sz w:val="28"/>
                <w:szCs w:val="28"/>
              </w:rPr>
              <w:t>Canada</w:t>
            </w:r>
          </w:p>
        </w:tc>
        <w:tc>
          <w:tcPr>
            <w:tcW w:w="0" w:type="auto"/>
            <w:vAlign w:val="center"/>
            <w:hideMark/>
          </w:tcPr>
          <w:p w14:paraId="5B7CD534" w14:textId="77777777" w:rsidR="007274F1" w:rsidRPr="002F5252" w:rsidRDefault="007274F1">
            <w:pPr>
              <w:rPr>
                <w:sz w:val="28"/>
                <w:szCs w:val="28"/>
              </w:rPr>
            </w:pPr>
            <w:r w:rsidRPr="002F5252">
              <w:rPr>
                <w:sz w:val="28"/>
                <w:szCs w:val="28"/>
              </w:rPr>
              <w:t>~9 percent</w:t>
            </w:r>
          </w:p>
        </w:tc>
      </w:tr>
      <w:tr w:rsidR="007274F1" w:rsidRPr="002F5252" w14:paraId="63E1642D" w14:textId="77777777" w:rsidTr="007274F1">
        <w:trPr>
          <w:tblCellSpacing w:w="15" w:type="dxa"/>
        </w:trPr>
        <w:tc>
          <w:tcPr>
            <w:tcW w:w="0" w:type="auto"/>
            <w:vAlign w:val="center"/>
            <w:hideMark/>
          </w:tcPr>
          <w:p w14:paraId="6F079D47" w14:textId="77777777" w:rsidR="007274F1" w:rsidRPr="002F5252" w:rsidRDefault="007274F1">
            <w:pPr>
              <w:rPr>
                <w:sz w:val="28"/>
                <w:szCs w:val="28"/>
              </w:rPr>
            </w:pPr>
            <w:r w:rsidRPr="002F5252">
              <w:rPr>
                <w:rStyle w:val="Strong"/>
                <w:rFonts w:eastAsiaTheme="majorEastAsia"/>
                <w:sz w:val="28"/>
                <w:szCs w:val="28"/>
              </w:rPr>
              <w:t>United Kingdom</w:t>
            </w:r>
          </w:p>
        </w:tc>
        <w:tc>
          <w:tcPr>
            <w:tcW w:w="0" w:type="auto"/>
            <w:vAlign w:val="center"/>
            <w:hideMark/>
          </w:tcPr>
          <w:p w14:paraId="1229AD13" w14:textId="77777777" w:rsidR="007274F1" w:rsidRPr="002F5252" w:rsidRDefault="007274F1">
            <w:pPr>
              <w:rPr>
                <w:sz w:val="28"/>
                <w:szCs w:val="28"/>
              </w:rPr>
            </w:pPr>
            <w:r w:rsidRPr="002F5252">
              <w:rPr>
                <w:sz w:val="28"/>
                <w:szCs w:val="28"/>
              </w:rPr>
              <w:t>~17 percent</w:t>
            </w:r>
          </w:p>
        </w:tc>
      </w:tr>
      <w:tr w:rsidR="007274F1" w:rsidRPr="002F5252" w14:paraId="46F5FB40" w14:textId="77777777" w:rsidTr="007274F1">
        <w:trPr>
          <w:tblCellSpacing w:w="15" w:type="dxa"/>
        </w:trPr>
        <w:tc>
          <w:tcPr>
            <w:tcW w:w="0" w:type="auto"/>
            <w:vAlign w:val="center"/>
            <w:hideMark/>
          </w:tcPr>
          <w:p w14:paraId="58CD0DFA" w14:textId="77777777" w:rsidR="007274F1" w:rsidRPr="002F5252" w:rsidRDefault="007274F1">
            <w:pPr>
              <w:rPr>
                <w:sz w:val="28"/>
                <w:szCs w:val="28"/>
              </w:rPr>
            </w:pPr>
            <w:r w:rsidRPr="002F5252">
              <w:rPr>
                <w:rStyle w:val="Strong"/>
                <w:rFonts w:eastAsiaTheme="majorEastAsia"/>
                <w:sz w:val="28"/>
                <w:szCs w:val="28"/>
              </w:rPr>
              <w:t>European Union (EU-27, packaging)</w:t>
            </w:r>
          </w:p>
        </w:tc>
        <w:tc>
          <w:tcPr>
            <w:tcW w:w="0" w:type="auto"/>
            <w:vAlign w:val="center"/>
            <w:hideMark/>
          </w:tcPr>
          <w:p w14:paraId="4D9E24C8" w14:textId="77777777" w:rsidR="007274F1" w:rsidRPr="002F5252" w:rsidRDefault="007274F1">
            <w:pPr>
              <w:rPr>
                <w:sz w:val="28"/>
                <w:szCs w:val="28"/>
              </w:rPr>
            </w:pPr>
            <w:r w:rsidRPr="002F5252">
              <w:rPr>
                <w:sz w:val="28"/>
                <w:szCs w:val="28"/>
              </w:rPr>
              <w:t>41 percent</w:t>
            </w:r>
          </w:p>
        </w:tc>
      </w:tr>
      <w:tr w:rsidR="007274F1" w:rsidRPr="002F5252" w14:paraId="554DBC3F" w14:textId="77777777" w:rsidTr="007274F1">
        <w:trPr>
          <w:tblCellSpacing w:w="15" w:type="dxa"/>
        </w:trPr>
        <w:tc>
          <w:tcPr>
            <w:tcW w:w="0" w:type="auto"/>
            <w:vAlign w:val="center"/>
            <w:hideMark/>
          </w:tcPr>
          <w:p w14:paraId="65B4A3FC" w14:textId="77777777" w:rsidR="007274F1" w:rsidRPr="002F5252" w:rsidRDefault="007274F1">
            <w:pPr>
              <w:rPr>
                <w:sz w:val="28"/>
                <w:szCs w:val="28"/>
              </w:rPr>
            </w:pPr>
            <w:r w:rsidRPr="002F5252">
              <w:rPr>
                <w:rStyle w:val="Strong"/>
                <w:rFonts w:eastAsiaTheme="majorEastAsia"/>
                <w:sz w:val="28"/>
                <w:szCs w:val="28"/>
              </w:rPr>
              <w:t>Germany (packaging)</w:t>
            </w:r>
          </w:p>
        </w:tc>
        <w:tc>
          <w:tcPr>
            <w:tcW w:w="0" w:type="auto"/>
            <w:vAlign w:val="center"/>
            <w:hideMark/>
          </w:tcPr>
          <w:p w14:paraId="5E03DD4D" w14:textId="77777777" w:rsidR="007274F1" w:rsidRPr="002F5252" w:rsidRDefault="007274F1">
            <w:pPr>
              <w:rPr>
                <w:sz w:val="28"/>
                <w:szCs w:val="28"/>
              </w:rPr>
            </w:pPr>
            <w:r w:rsidRPr="002F5252">
              <w:rPr>
                <w:sz w:val="28"/>
                <w:szCs w:val="28"/>
              </w:rPr>
              <w:t>~51 percent</w:t>
            </w:r>
          </w:p>
        </w:tc>
      </w:tr>
      <w:tr w:rsidR="007274F1" w:rsidRPr="002F5252" w14:paraId="068CA570" w14:textId="77777777" w:rsidTr="007274F1">
        <w:trPr>
          <w:tblCellSpacing w:w="15" w:type="dxa"/>
        </w:trPr>
        <w:tc>
          <w:tcPr>
            <w:tcW w:w="0" w:type="auto"/>
            <w:vAlign w:val="center"/>
            <w:hideMark/>
          </w:tcPr>
          <w:p w14:paraId="223B9E98" w14:textId="77777777" w:rsidR="007274F1" w:rsidRPr="002F5252" w:rsidRDefault="007274F1">
            <w:pPr>
              <w:rPr>
                <w:sz w:val="28"/>
                <w:szCs w:val="28"/>
              </w:rPr>
            </w:pPr>
            <w:r w:rsidRPr="002F5252">
              <w:rPr>
                <w:rStyle w:val="Strong"/>
                <w:rFonts w:eastAsiaTheme="majorEastAsia"/>
                <w:sz w:val="28"/>
                <w:szCs w:val="28"/>
              </w:rPr>
              <w:t>France (packaging)</w:t>
            </w:r>
          </w:p>
        </w:tc>
        <w:tc>
          <w:tcPr>
            <w:tcW w:w="0" w:type="auto"/>
            <w:vAlign w:val="center"/>
            <w:hideMark/>
          </w:tcPr>
          <w:p w14:paraId="644001A9" w14:textId="77777777" w:rsidR="007274F1" w:rsidRPr="002F5252" w:rsidRDefault="007274F1">
            <w:pPr>
              <w:rPr>
                <w:sz w:val="28"/>
                <w:szCs w:val="28"/>
              </w:rPr>
            </w:pPr>
            <w:r w:rsidRPr="002F5252">
              <w:rPr>
                <w:sz w:val="28"/>
                <w:szCs w:val="28"/>
              </w:rPr>
              <w:t>~25 percent</w:t>
            </w:r>
          </w:p>
        </w:tc>
      </w:tr>
      <w:tr w:rsidR="007274F1" w:rsidRPr="002F5252" w14:paraId="2F948861" w14:textId="77777777" w:rsidTr="007274F1">
        <w:trPr>
          <w:tblCellSpacing w:w="15" w:type="dxa"/>
        </w:trPr>
        <w:tc>
          <w:tcPr>
            <w:tcW w:w="0" w:type="auto"/>
            <w:vAlign w:val="center"/>
            <w:hideMark/>
          </w:tcPr>
          <w:p w14:paraId="5CB36286" w14:textId="77777777" w:rsidR="007274F1" w:rsidRPr="002F5252" w:rsidRDefault="007274F1">
            <w:pPr>
              <w:rPr>
                <w:sz w:val="28"/>
                <w:szCs w:val="28"/>
              </w:rPr>
            </w:pPr>
            <w:r w:rsidRPr="002F5252">
              <w:rPr>
                <w:rStyle w:val="Strong"/>
                <w:rFonts w:eastAsiaTheme="majorEastAsia"/>
                <w:sz w:val="28"/>
                <w:szCs w:val="28"/>
              </w:rPr>
              <w:t>Sweden</w:t>
            </w:r>
          </w:p>
        </w:tc>
        <w:tc>
          <w:tcPr>
            <w:tcW w:w="0" w:type="auto"/>
            <w:vAlign w:val="center"/>
            <w:hideMark/>
          </w:tcPr>
          <w:p w14:paraId="68D7884B" w14:textId="77777777" w:rsidR="007274F1" w:rsidRPr="002F5252" w:rsidRDefault="007274F1">
            <w:pPr>
              <w:rPr>
                <w:sz w:val="28"/>
                <w:szCs w:val="28"/>
              </w:rPr>
            </w:pPr>
            <w:r w:rsidRPr="002F5252">
              <w:rPr>
                <w:sz w:val="28"/>
                <w:szCs w:val="28"/>
              </w:rPr>
              <w:t>~8 percent</w:t>
            </w:r>
          </w:p>
        </w:tc>
      </w:tr>
      <w:tr w:rsidR="007274F1" w:rsidRPr="002F5252" w14:paraId="2775C040" w14:textId="77777777" w:rsidTr="007274F1">
        <w:trPr>
          <w:tblCellSpacing w:w="15" w:type="dxa"/>
        </w:trPr>
        <w:tc>
          <w:tcPr>
            <w:tcW w:w="0" w:type="auto"/>
            <w:vAlign w:val="center"/>
            <w:hideMark/>
          </w:tcPr>
          <w:p w14:paraId="7040B0A0" w14:textId="77777777" w:rsidR="007274F1" w:rsidRPr="002F5252" w:rsidRDefault="007274F1">
            <w:pPr>
              <w:rPr>
                <w:sz w:val="28"/>
                <w:szCs w:val="28"/>
              </w:rPr>
            </w:pPr>
            <w:r w:rsidRPr="002F5252">
              <w:rPr>
                <w:rStyle w:val="Strong"/>
                <w:rFonts w:eastAsiaTheme="majorEastAsia"/>
                <w:sz w:val="28"/>
                <w:szCs w:val="28"/>
              </w:rPr>
              <w:t>Switzerland</w:t>
            </w:r>
          </w:p>
        </w:tc>
        <w:tc>
          <w:tcPr>
            <w:tcW w:w="0" w:type="auto"/>
            <w:vAlign w:val="center"/>
            <w:hideMark/>
          </w:tcPr>
          <w:p w14:paraId="7CC4DD96" w14:textId="77777777" w:rsidR="007274F1" w:rsidRPr="002F5252" w:rsidRDefault="007274F1">
            <w:pPr>
              <w:rPr>
                <w:sz w:val="28"/>
                <w:szCs w:val="28"/>
              </w:rPr>
            </w:pPr>
            <w:r w:rsidRPr="002F5252">
              <w:rPr>
                <w:sz w:val="28"/>
                <w:szCs w:val="28"/>
              </w:rPr>
              <w:t>~9 percent</w:t>
            </w:r>
          </w:p>
        </w:tc>
      </w:tr>
      <w:tr w:rsidR="007274F1" w:rsidRPr="002F5252" w14:paraId="16A31EA5" w14:textId="77777777" w:rsidTr="007274F1">
        <w:trPr>
          <w:tblCellSpacing w:w="15" w:type="dxa"/>
        </w:trPr>
        <w:tc>
          <w:tcPr>
            <w:tcW w:w="0" w:type="auto"/>
            <w:vAlign w:val="center"/>
            <w:hideMark/>
          </w:tcPr>
          <w:p w14:paraId="6B5D1B5C" w14:textId="77777777" w:rsidR="007274F1" w:rsidRPr="002F5252" w:rsidRDefault="007274F1">
            <w:pPr>
              <w:rPr>
                <w:sz w:val="28"/>
                <w:szCs w:val="28"/>
              </w:rPr>
            </w:pPr>
            <w:r w:rsidRPr="002F5252">
              <w:rPr>
                <w:rStyle w:val="Strong"/>
                <w:rFonts w:eastAsiaTheme="majorEastAsia"/>
                <w:sz w:val="28"/>
                <w:szCs w:val="28"/>
              </w:rPr>
              <w:t>China</w:t>
            </w:r>
          </w:p>
        </w:tc>
        <w:tc>
          <w:tcPr>
            <w:tcW w:w="0" w:type="auto"/>
            <w:vAlign w:val="center"/>
            <w:hideMark/>
          </w:tcPr>
          <w:p w14:paraId="6DEF7688" w14:textId="77777777" w:rsidR="007274F1" w:rsidRPr="002F5252" w:rsidRDefault="007274F1">
            <w:pPr>
              <w:rPr>
                <w:sz w:val="28"/>
                <w:szCs w:val="28"/>
              </w:rPr>
            </w:pPr>
            <w:r w:rsidRPr="002F5252">
              <w:rPr>
                <w:sz w:val="28"/>
                <w:szCs w:val="28"/>
              </w:rPr>
              <w:t>~31 percent</w:t>
            </w:r>
          </w:p>
        </w:tc>
      </w:tr>
      <w:tr w:rsidR="007274F1" w:rsidRPr="002F5252" w14:paraId="51BFEA52" w14:textId="77777777" w:rsidTr="007274F1">
        <w:trPr>
          <w:tblCellSpacing w:w="15" w:type="dxa"/>
        </w:trPr>
        <w:tc>
          <w:tcPr>
            <w:tcW w:w="0" w:type="auto"/>
            <w:vAlign w:val="center"/>
            <w:hideMark/>
          </w:tcPr>
          <w:p w14:paraId="0ADB4E53" w14:textId="77777777" w:rsidR="007274F1" w:rsidRPr="002F5252" w:rsidRDefault="007274F1">
            <w:pPr>
              <w:rPr>
                <w:sz w:val="28"/>
                <w:szCs w:val="28"/>
              </w:rPr>
            </w:pPr>
            <w:r w:rsidRPr="002F5252">
              <w:rPr>
                <w:rStyle w:val="Strong"/>
                <w:rFonts w:eastAsiaTheme="majorEastAsia"/>
                <w:sz w:val="28"/>
                <w:szCs w:val="28"/>
              </w:rPr>
              <w:t>Japan (material only)</w:t>
            </w:r>
          </w:p>
        </w:tc>
        <w:tc>
          <w:tcPr>
            <w:tcW w:w="0" w:type="auto"/>
            <w:vAlign w:val="center"/>
            <w:hideMark/>
          </w:tcPr>
          <w:p w14:paraId="1A588A57" w14:textId="77777777" w:rsidR="007274F1" w:rsidRPr="002F5252" w:rsidRDefault="007274F1">
            <w:pPr>
              <w:rPr>
                <w:sz w:val="28"/>
                <w:szCs w:val="28"/>
              </w:rPr>
            </w:pPr>
            <w:r w:rsidRPr="002F5252">
              <w:rPr>
                <w:sz w:val="28"/>
                <w:szCs w:val="28"/>
              </w:rPr>
              <w:t>~25 percent</w:t>
            </w:r>
          </w:p>
        </w:tc>
      </w:tr>
      <w:tr w:rsidR="007274F1" w:rsidRPr="002F5252" w14:paraId="1E3AFD6D" w14:textId="77777777" w:rsidTr="007274F1">
        <w:trPr>
          <w:tblCellSpacing w:w="15" w:type="dxa"/>
        </w:trPr>
        <w:tc>
          <w:tcPr>
            <w:tcW w:w="0" w:type="auto"/>
            <w:vAlign w:val="center"/>
            <w:hideMark/>
          </w:tcPr>
          <w:p w14:paraId="4A8D26E7" w14:textId="77777777" w:rsidR="007274F1" w:rsidRPr="002F5252" w:rsidRDefault="007274F1">
            <w:pPr>
              <w:rPr>
                <w:sz w:val="28"/>
                <w:szCs w:val="28"/>
              </w:rPr>
            </w:pPr>
            <w:r w:rsidRPr="002F5252">
              <w:rPr>
                <w:rStyle w:val="Strong"/>
                <w:rFonts w:eastAsiaTheme="majorEastAsia"/>
                <w:sz w:val="28"/>
                <w:szCs w:val="28"/>
              </w:rPr>
              <w:t>Japan (incl. incineration)</w:t>
            </w:r>
          </w:p>
        </w:tc>
        <w:tc>
          <w:tcPr>
            <w:tcW w:w="0" w:type="auto"/>
            <w:vAlign w:val="center"/>
            <w:hideMark/>
          </w:tcPr>
          <w:p w14:paraId="241A40F7" w14:textId="77777777" w:rsidR="007274F1" w:rsidRPr="002F5252" w:rsidRDefault="007274F1">
            <w:pPr>
              <w:rPr>
                <w:sz w:val="28"/>
                <w:szCs w:val="28"/>
              </w:rPr>
            </w:pPr>
            <w:r w:rsidRPr="002F5252">
              <w:rPr>
                <w:sz w:val="28"/>
                <w:szCs w:val="28"/>
              </w:rPr>
              <w:t>87 percent</w:t>
            </w:r>
          </w:p>
        </w:tc>
      </w:tr>
      <w:tr w:rsidR="007274F1" w:rsidRPr="002F5252" w14:paraId="4CE27877" w14:textId="77777777" w:rsidTr="007274F1">
        <w:trPr>
          <w:tblCellSpacing w:w="15" w:type="dxa"/>
        </w:trPr>
        <w:tc>
          <w:tcPr>
            <w:tcW w:w="0" w:type="auto"/>
            <w:vAlign w:val="center"/>
            <w:hideMark/>
          </w:tcPr>
          <w:p w14:paraId="58191331" w14:textId="77777777" w:rsidR="007274F1" w:rsidRPr="002F5252" w:rsidRDefault="007274F1">
            <w:pPr>
              <w:rPr>
                <w:sz w:val="28"/>
                <w:szCs w:val="28"/>
              </w:rPr>
            </w:pPr>
            <w:r w:rsidRPr="002F5252">
              <w:rPr>
                <w:rStyle w:val="Strong"/>
                <w:rFonts w:eastAsiaTheme="majorEastAsia"/>
                <w:sz w:val="28"/>
                <w:szCs w:val="28"/>
              </w:rPr>
              <w:t>South Korea</w:t>
            </w:r>
          </w:p>
        </w:tc>
        <w:tc>
          <w:tcPr>
            <w:tcW w:w="0" w:type="auto"/>
            <w:vAlign w:val="center"/>
            <w:hideMark/>
          </w:tcPr>
          <w:p w14:paraId="55021B69" w14:textId="77777777" w:rsidR="007274F1" w:rsidRPr="002F5252" w:rsidRDefault="007274F1">
            <w:pPr>
              <w:rPr>
                <w:sz w:val="28"/>
                <w:szCs w:val="28"/>
              </w:rPr>
            </w:pPr>
            <w:r w:rsidRPr="002F5252">
              <w:rPr>
                <w:sz w:val="28"/>
                <w:szCs w:val="28"/>
              </w:rPr>
              <w:t>~27 percent</w:t>
            </w:r>
          </w:p>
        </w:tc>
      </w:tr>
      <w:tr w:rsidR="007274F1" w:rsidRPr="002F5252" w14:paraId="1AB3893E" w14:textId="77777777" w:rsidTr="007274F1">
        <w:trPr>
          <w:tblCellSpacing w:w="15" w:type="dxa"/>
        </w:trPr>
        <w:tc>
          <w:tcPr>
            <w:tcW w:w="0" w:type="auto"/>
            <w:vAlign w:val="center"/>
            <w:hideMark/>
          </w:tcPr>
          <w:p w14:paraId="27344799" w14:textId="77777777" w:rsidR="007274F1" w:rsidRPr="002F5252" w:rsidRDefault="007274F1">
            <w:pPr>
              <w:rPr>
                <w:sz w:val="28"/>
                <w:szCs w:val="28"/>
              </w:rPr>
            </w:pPr>
            <w:r w:rsidRPr="002F5252">
              <w:rPr>
                <w:rStyle w:val="Strong"/>
                <w:rFonts w:eastAsiaTheme="majorEastAsia"/>
                <w:sz w:val="28"/>
                <w:szCs w:val="28"/>
              </w:rPr>
              <w:lastRenderedPageBreak/>
              <w:t>Singapore</w:t>
            </w:r>
          </w:p>
        </w:tc>
        <w:tc>
          <w:tcPr>
            <w:tcW w:w="0" w:type="auto"/>
            <w:vAlign w:val="center"/>
            <w:hideMark/>
          </w:tcPr>
          <w:p w14:paraId="1BAB6E4F" w14:textId="77777777" w:rsidR="007274F1" w:rsidRPr="002F5252" w:rsidRDefault="007274F1">
            <w:pPr>
              <w:rPr>
                <w:sz w:val="28"/>
                <w:szCs w:val="28"/>
              </w:rPr>
            </w:pPr>
            <w:r w:rsidRPr="002F5252">
              <w:rPr>
                <w:sz w:val="28"/>
                <w:szCs w:val="28"/>
              </w:rPr>
              <w:t>~6 percent</w:t>
            </w:r>
          </w:p>
        </w:tc>
      </w:tr>
      <w:tr w:rsidR="007274F1" w:rsidRPr="002F5252" w14:paraId="67FACD03" w14:textId="77777777" w:rsidTr="007274F1">
        <w:trPr>
          <w:tblCellSpacing w:w="15" w:type="dxa"/>
        </w:trPr>
        <w:tc>
          <w:tcPr>
            <w:tcW w:w="0" w:type="auto"/>
            <w:vAlign w:val="center"/>
            <w:hideMark/>
          </w:tcPr>
          <w:p w14:paraId="74A4E05E" w14:textId="77777777" w:rsidR="007274F1" w:rsidRPr="002F5252" w:rsidRDefault="007274F1">
            <w:pPr>
              <w:rPr>
                <w:sz w:val="28"/>
                <w:szCs w:val="28"/>
              </w:rPr>
            </w:pPr>
            <w:r w:rsidRPr="002F5252">
              <w:rPr>
                <w:rStyle w:val="Strong"/>
                <w:rFonts w:eastAsiaTheme="majorEastAsia"/>
                <w:sz w:val="28"/>
                <w:szCs w:val="28"/>
              </w:rPr>
              <w:t>Malaysia</w:t>
            </w:r>
          </w:p>
        </w:tc>
        <w:tc>
          <w:tcPr>
            <w:tcW w:w="0" w:type="auto"/>
            <w:vAlign w:val="center"/>
            <w:hideMark/>
          </w:tcPr>
          <w:p w14:paraId="744075F9" w14:textId="77777777" w:rsidR="007274F1" w:rsidRPr="002F5252" w:rsidRDefault="007274F1">
            <w:pPr>
              <w:rPr>
                <w:sz w:val="28"/>
                <w:szCs w:val="28"/>
              </w:rPr>
            </w:pPr>
            <w:r w:rsidRPr="002F5252">
              <w:rPr>
                <w:sz w:val="28"/>
                <w:szCs w:val="28"/>
              </w:rPr>
              <w:t>~18 percent</w:t>
            </w:r>
          </w:p>
        </w:tc>
      </w:tr>
      <w:tr w:rsidR="007274F1" w:rsidRPr="002F5252" w14:paraId="2DF55939" w14:textId="77777777" w:rsidTr="007274F1">
        <w:trPr>
          <w:tblCellSpacing w:w="15" w:type="dxa"/>
        </w:trPr>
        <w:tc>
          <w:tcPr>
            <w:tcW w:w="0" w:type="auto"/>
            <w:vAlign w:val="center"/>
            <w:hideMark/>
          </w:tcPr>
          <w:p w14:paraId="1B97DA29" w14:textId="77777777" w:rsidR="007274F1" w:rsidRPr="002F5252" w:rsidRDefault="007274F1">
            <w:pPr>
              <w:rPr>
                <w:sz w:val="28"/>
                <w:szCs w:val="28"/>
              </w:rPr>
            </w:pPr>
            <w:r w:rsidRPr="002F5252">
              <w:rPr>
                <w:rStyle w:val="Strong"/>
                <w:rFonts w:eastAsiaTheme="majorEastAsia"/>
                <w:sz w:val="28"/>
                <w:szCs w:val="28"/>
              </w:rPr>
              <w:t>Australia</w:t>
            </w:r>
          </w:p>
        </w:tc>
        <w:tc>
          <w:tcPr>
            <w:tcW w:w="0" w:type="auto"/>
            <w:vAlign w:val="center"/>
            <w:hideMark/>
          </w:tcPr>
          <w:p w14:paraId="2B992A37" w14:textId="77777777" w:rsidR="007274F1" w:rsidRPr="002F5252" w:rsidRDefault="007274F1">
            <w:pPr>
              <w:rPr>
                <w:sz w:val="28"/>
                <w:szCs w:val="28"/>
              </w:rPr>
            </w:pPr>
            <w:r w:rsidRPr="002F5252">
              <w:rPr>
                <w:sz w:val="28"/>
                <w:szCs w:val="28"/>
              </w:rPr>
              <w:t>~14 percent</w:t>
            </w:r>
          </w:p>
        </w:tc>
      </w:tr>
      <w:tr w:rsidR="007274F1" w:rsidRPr="002F5252" w14:paraId="2FD78B15" w14:textId="77777777" w:rsidTr="007274F1">
        <w:trPr>
          <w:tblCellSpacing w:w="15" w:type="dxa"/>
        </w:trPr>
        <w:tc>
          <w:tcPr>
            <w:tcW w:w="0" w:type="auto"/>
            <w:vAlign w:val="center"/>
            <w:hideMark/>
          </w:tcPr>
          <w:p w14:paraId="386C9FFF" w14:textId="77777777" w:rsidR="007274F1" w:rsidRPr="002F5252" w:rsidRDefault="007274F1">
            <w:pPr>
              <w:rPr>
                <w:sz w:val="28"/>
                <w:szCs w:val="28"/>
              </w:rPr>
            </w:pPr>
            <w:r w:rsidRPr="002F5252">
              <w:rPr>
                <w:rStyle w:val="Strong"/>
                <w:rFonts w:eastAsiaTheme="majorEastAsia"/>
                <w:sz w:val="28"/>
                <w:szCs w:val="28"/>
              </w:rPr>
              <w:t>New Zealand</w:t>
            </w:r>
          </w:p>
        </w:tc>
        <w:tc>
          <w:tcPr>
            <w:tcW w:w="0" w:type="auto"/>
            <w:vAlign w:val="center"/>
            <w:hideMark/>
          </w:tcPr>
          <w:p w14:paraId="3A42CDA2" w14:textId="77777777" w:rsidR="007274F1" w:rsidRPr="002F5252" w:rsidRDefault="007274F1">
            <w:pPr>
              <w:rPr>
                <w:sz w:val="28"/>
                <w:szCs w:val="28"/>
              </w:rPr>
            </w:pPr>
            <w:r w:rsidRPr="002F5252">
              <w:rPr>
                <w:sz w:val="28"/>
                <w:szCs w:val="28"/>
              </w:rPr>
              <w:t>~13 percent</w:t>
            </w:r>
          </w:p>
        </w:tc>
      </w:tr>
      <w:tr w:rsidR="007274F1" w:rsidRPr="002F5252" w14:paraId="2B376C85" w14:textId="77777777" w:rsidTr="007274F1">
        <w:trPr>
          <w:tblCellSpacing w:w="15" w:type="dxa"/>
        </w:trPr>
        <w:tc>
          <w:tcPr>
            <w:tcW w:w="0" w:type="auto"/>
            <w:vAlign w:val="center"/>
            <w:hideMark/>
          </w:tcPr>
          <w:p w14:paraId="7AFF6630" w14:textId="77777777" w:rsidR="007274F1" w:rsidRPr="002F5252" w:rsidRDefault="007274F1">
            <w:pPr>
              <w:rPr>
                <w:sz w:val="28"/>
                <w:szCs w:val="28"/>
              </w:rPr>
            </w:pPr>
            <w:r w:rsidRPr="002F5252">
              <w:rPr>
                <w:rStyle w:val="Strong"/>
                <w:rFonts w:eastAsiaTheme="majorEastAsia"/>
                <w:sz w:val="28"/>
                <w:szCs w:val="28"/>
              </w:rPr>
              <w:t>South Africa</w:t>
            </w:r>
          </w:p>
        </w:tc>
        <w:tc>
          <w:tcPr>
            <w:tcW w:w="0" w:type="auto"/>
            <w:vAlign w:val="center"/>
            <w:hideMark/>
          </w:tcPr>
          <w:p w14:paraId="33003D2B" w14:textId="77777777" w:rsidR="007274F1" w:rsidRPr="002F5252" w:rsidRDefault="007274F1">
            <w:pPr>
              <w:rPr>
                <w:sz w:val="28"/>
                <w:szCs w:val="28"/>
              </w:rPr>
            </w:pPr>
            <w:r w:rsidRPr="002F5252">
              <w:rPr>
                <w:sz w:val="28"/>
                <w:szCs w:val="28"/>
              </w:rPr>
              <w:t>~22 percent</w:t>
            </w:r>
          </w:p>
        </w:tc>
      </w:tr>
      <w:tr w:rsidR="007274F1" w:rsidRPr="002F5252" w14:paraId="28E77C6A" w14:textId="77777777" w:rsidTr="007274F1">
        <w:trPr>
          <w:tblCellSpacing w:w="15" w:type="dxa"/>
        </w:trPr>
        <w:tc>
          <w:tcPr>
            <w:tcW w:w="0" w:type="auto"/>
            <w:vAlign w:val="center"/>
            <w:hideMark/>
          </w:tcPr>
          <w:p w14:paraId="084AF240" w14:textId="77777777" w:rsidR="007274F1" w:rsidRPr="002F5252" w:rsidRDefault="007274F1">
            <w:pPr>
              <w:rPr>
                <w:sz w:val="28"/>
                <w:szCs w:val="28"/>
              </w:rPr>
            </w:pPr>
            <w:r w:rsidRPr="002F5252">
              <w:rPr>
                <w:rStyle w:val="Strong"/>
                <w:rFonts w:eastAsiaTheme="majorEastAsia"/>
                <w:sz w:val="28"/>
                <w:szCs w:val="28"/>
              </w:rPr>
              <w:t>Brazil</w:t>
            </w:r>
          </w:p>
        </w:tc>
        <w:tc>
          <w:tcPr>
            <w:tcW w:w="0" w:type="auto"/>
            <w:vAlign w:val="center"/>
            <w:hideMark/>
          </w:tcPr>
          <w:p w14:paraId="3E3C431D" w14:textId="77777777" w:rsidR="007274F1" w:rsidRPr="002F5252" w:rsidRDefault="007274F1">
            <w:pPr>
              <w:rPr>
                <w:sz w:val="28"/>
                <w:szCs w:val="28"/>
              </w:rPr>
            </w:pPr>
            <w:r w:rsidRPr="002F5252">
              <w:rPr>
                <w:sz w:val="28"/>
                <w:szCs w:val="28"/>
              </w:rPr>
              <w:t>25.6 percent</w:t>
            </w:r>
          </w:p>
        </w:tc>
      </w:tr>
    </w:tbl>
    <w:p w14:paraId="539CAFEB" w14:textId="77777777" w:rsidR="007274F1" w:rsidRPr="002F5252" w:rsidRDefault="00123779" w:rsidP="007274F1">
      <w:pPr>
        <w:rPr>
          <w:sz w:val="28"/>
          <w:szCs w:val="28"/>
        </w:rPr>
      </w:pPr>
      <w:r>
        <w:rPr>
          <w:noProof/>
        </w:rPr>
      </w:r>
      <w:r>
        <w:pict w14:anchorId="7AD6FD02">
          <v:rect id="Horizontal Line 1" o:spid="_x0000_s1031"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NPhb/XbAAAABwEAAA8AAAAAAAAAAAAAAAAAugQAAGRycy9kb3du&#13;&#10;cmV2LnhtbFBLBQYAAAAABAAEAPMAAADCBQAAAAA=&#13;&#10;" filled="f">
            <o:lock v:ext="edit" rotation="t" aspectratio="t" verticies="t" text="t" shapetype="t"/>
            <w10:anchorlock/>
          </v:rect>
        </w:pict>
      </w:r>
    </w:p>
    <w:p w14:paraId="3D15BA2A" w14:textId="77777777" w:rsidR="007274F1" w:rsidRPr="002F5252" w:rsidRDefault="007274F1" w:rsidP="007274F1">
      <w:pPr>
        <w:pStyle w:val="Heading2"/>
        <w:rPr>
          <w:rFonts w:ascii="Times New Roman" w:hAnsi="Times New Roman" w:cs="Times New Roman"/>
          <w:color w:val="auto"/>
          <w:sz w:val="28"/>
          <w:szCs w:val="28"/>
        </w:rPr>
      </w:pPr>
      <w:r w:rsidRPr="002F5252">
        <w:rPr>
          <w:rFonts w:ascii="Times New Roman" w:hAnsi="Times New Roman" w:cs="Times New Roman"/>
          <w:color w:val="auto"/>
          <w:sz w:val="28"/>
          <w:szCs w:val="28"/>
        </w:rPr>
        <w:t>North America: United States and Canada</w:t>
      </w:r>
    </w:p>
    <w:p w14:paraId="0593B767" w14:textId="77777777" w:rsidR="007274F1" w:rsidRPr="002F5252" w:rsidRDefault="007274F1" w:rsidP="007274F1">
      <w:pPr>
        <w:pStyle w:val="NormalWeb"/>
        <w:rPr>
          <w:sz w:val="28"/>
          <w:szCs w:val="28"/>
        </w:rPr>
      </w:pPr>
      <w:r w:rsidRPr="002F5252">
        <w:rPr>
          <w:rStyle w:val="Strong"/>
          <w:rFonts w:eastAsiaTheme="majorEastAsia"/>
          <w:sz w:val="28"/>
          <w:szCs w:val="28"/>
        </w:rPr>
        <w:t>United States</w:t>
      </w:r>
      <w:r w:rsidRPr="002F5252">
        <w:rPr>
          <w:sz w:val="28"/>
          <w:szCs w:val="28"/>
        </w:rPr>
        <w:br/>
        <w:t xml:space="preserve">The United States is one of the world’s largest plastic-waste generators, yet its recycling rate is among the lowest in the developed world. Americans produced about </w:t>
      </w:r>
      <w:r w:rsidRPr="002F5252">
        <w:rPr>
          <w:rStyle w:val="Strong"/>
          <w:rFonts w:eastAsiaTheme="majorEastAsia"/>
          <w:sz w:val="28"/>
          <w:szCs w:val="28"/>
        </w:rPr>
        <w:t>51 million tons of plastic waste in 2021</w:t>
      </w:r>
      <w:r w:rsidRPr="002F5252">
        <w:rPr>
          <w:sz w:val="28"/>
          <w:szCs w:val="28"/>
        </w:rPr>
        <w:t xml:space="preserve">, and only around </w:t>
      </w:r>
      <w:r w:rsidRPr="002F5252">
        <w:rPr>
          <w:rStyle w:val="Strong"/>
          <w:rFonts w:eastAsiaTheme="majorEastAsia"/>
          <w:sz w:val="28"/>
          <w:szCs w:val="28"/>
        </w:rPr>
        <w:t>5 percent</w:t>
      </w:r>
      <w:r w:rsidRPr="002F5252">
        <w:rPr>
          <w:sz w:val="28"/>
          <w:szCs w:val="28"/>
        </w:rPr>
        <w:t xml:space="preserve"> was recycled—an overwhelming 95 percent was landfilled, burned, or littered. A 2023 report in </w:t>
      </w:r>
      <w:r w:rsidRPr="002F5252">
        <w:rPr>
          <w:rStyle w:val="Emphasis"/>
          <w:rFonts w:eastAsiaTheme="majorEastAsia"/>
          <w:sz w:val="28"/>
          <w:szCs w:val="28"/>
        </w:rPr>
        <w:t>The Guardian</w:t>
      </w:r>
      <w:r w:rsidRPr="002F5252">
        <w:rPr>
          <w:sz w:val="28"/>
          <w:szCs w:val="28"/>
        </w:rPr>
        <w:t xml:space="preserve"> (</w:t>
      </w:r>
      <w:hyperlink r:id="rId10" w:history="1">
        <w:r w:rsidRPr="002F5252">
          <w:rPr>
            <w:rStyle w:val="Hyperlink"/>
            <w:rFonts w:eastAsiaTheme="majorEastAsia"/>
            <w:color w:val="auto"/>
            <w:sz w:val="28"/>
            <w:szCs w:val="28"/>
          </w:rPr>
          <w:t>https://www.theguardian.com/environment</w:t>
        </w:r>
      </w:hyperlink>
      <w:r w:rsidRPr="002F5252">
        <w:rPr>
          <w:sz w:val="28"/>
          <w:szCs w:val="28"/>
        </w:rPr>
        <w:t xml:space="preserve">) documents how China’s 2018 ban on plastic-waste imports led U.S. municipalities to divert recyclable plastics to landfills, underscoring that </w:t>
      </w:r>
      <w:r w:rsidRPr="002F5252">
        <w:rPr>
          <w:rStyle w:val="Strong"/>
          <w:rFonts w:eastAsiaTheme="majorEastAsia"/>
          <w:sz w:val="28"/>
          <w:szCs w:val="28"/>
        </w:rPr>
        <w:t>recycling alone, without systemic changes, is insufficient</w:t>
      </w:r>
      <w:r w:rsidRPr="002F5252">
        <w:rPr>
          <w:sz w:val="28"/>
          <w:szCs w:val="28"/>
        </w:rPr>
        <w:t>.</w:t>
      </w:r>
    </w:p>
    <w:p w14:paraId="0EEF8B3D" w14:textId="77777777" w:rsidR="007274F1" w:rsidRPr="002F5252" w:rsidRDefault="007274F1" w:rsidP="007274F1">
      <w:pPr>
        <w:pStyle w:val="NormalWeb"/>
        <w:rPr>
          <w:sz w:val="28"/>
          <w:szCs w:val="28"/>
        </w:rPr>
      </w:pPr>
      <w:r w:rsidRPr="002F5252">
        <w:rPr>
          <w:rStyle w:val="Strong"/>
          <w:rFonts w:eastAsiaTheme="majorEastAsia"/>
          <w:sz w:val="28"/>
          <w:szCs w:val="28"/>
        </w:rPr>
        <w:t>Canada</w:t>
      </w:r>
      <w:r w:rsidRPr="002F5252">
        <w:rPr>
          <w:sz w:val="28"/>
          <w:szCs w:val="28"/>
        </w:rPr>
        <w:br/>
        <w:t xml:space="preserve">Each year, Canadians discard roughly </w:t>
      </w:r>
      <w:r w:rsidRPr="002F5252">
        <w:rPr>
          <w:rStyle w:val="Strong"/>
          <w:rFonts w:eastAsiaTheme="majorEastAsia"/>
          <w:sz w:val="28"/>
          <w:szCs w:val="28"/>
        </w:rPr>
        <w:t>3.3 million tonnes of plastic</w:t>
      </w:r>
      <w:r w:rsidRPr="002F5252">
        <w:rPr>
          <w:sz w:val="28"/>
          <w:szCs w:val="28"/>
        </w:rPr>
        <w:t xml:space="preserve">, of which </w:t>
      </w:r>
      <w:r w:rsidRPr="002F5252">
        <w:rPr>
          <w:rStyle w:val="Strong"/>
          <w:rFonts w:eastAsiaTheme="majorEastAsia"/>
          <w:sz w:val="28"/>
          <w:szCs w:val="28"/>
        </w:rPr>
        <w:t>only about 9 percent</w:t>
      </w:r>
      <w:r w:rsidRPr="002F5252">
        <w:rPr>
          <w:sz w:val="28"/>
          <w:szCs w:val="28"/>
        </w:rPr>
        <w:t xml:space="preserve"> is recycled. Canada’s “Zero Plastic Waste by 2030” goal and bans on certain single-use items have spurred action, yet domestic recycling infrastructure remains underdeveloped. The volume-based fee system and emerging extended-producer-responsibility programs aim to raise rates, but as of 2025, </w:t>
      </w:r>
      <w:r w:rsidRPr="002F5252">
        <w:rPr>
          <w:rStyle w:val="Strong"/>
          <w:rFonts w:eastAsiaTheme="majorEastAsia"/>
          <w:sz w:val="28"/>
          <w:szCs w:val="28"/>
        </w:rPr>
        <w:t>Canada’s packaging recycling is near 20 percent</w:t>
      </w:r>
      <w:r w:rsidRPr="002F5252">
        <w:rPr>
          <w:sz w:val="28"/>
          <w:szCs w:val="28"/>
        </w:rPr>
        <w:t>, far from the targets envisioned.</w:t>
      </w:r>
    </w:p>
    <w:p w14:paraId="58FCE25C" w14:textId="335D835F" w:rsidR="006D4B0B" w:rsidRPr="002F5252" w:rsidRDefault="00123779" w:rsidP="006D4B0B">
      <w:pPr>
        <w:rPr>
          <w:sz w:val="28"/>
          <w:szCs w:val="28"/>
        </w:rPr>
      </w:pPr>
      <w:r>
        <w:rPr>
          <w:noProof/>
        </w:rPr>
      </w:r>
      <w:r>
        <w:pict w14:anchorId="54450AE3">
          <v:rect id="Horizontal Line 2" o:spid="_x0000_s1030"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NPhb/XbAAAABwEAAA8AAAAAAAAAAAAAAAAAugQAAGRycy9kb3du&#13;&#10;cmV2LnhtbFBLBQYAAAAABAAEAPMAAADCBQAAAAA=&#13;&#10;" filled="f">
            <o:lock v:ext="edit" rotation="t" aspectratio="t" verticies="t" text="t" shapetype="t"/>
            <w10:anchorlock/>
          </v:rect>
        </w:pict>
      </w:r>
    </w:p>
    <w:p w14:paraId="7BE797E5" w14:textId="6301D95E" w:rsidR="007274F1" w:rsidRPr="002F5252" w:rsidRDefault="007274F1" w:rsidP="007274F1">
      <w:pPr>
        <w:pStyle w:val="Heading2"/>
        <w:rPr>
          <w:rFonts w:ascii="Times New Roman" w:hAnsi="Times New Roman" w:cs="Times New Roman"/>
          <w:color w:val="auto"/>
          <w:sz w:val="28"/>
          <w:szCs w:val="28"/>
        </w:rPr>
      </w:pPr>
      <w:r w:rsidRPr="002F5252">
        <w:rPr>
          <w:rFonts w:ascii="Times New Roman" w:hAnsi="Times New Roman" w:cs="Times New Roman"/>
          <w:color w:val="auto"/>
          <w:sz w:val="28"/>
          <w:szCs w:val="28"/>
        </w:rPr>
        <w:t>Europe: High Performers and Systemic Nuances</w:t>
      </w:r>
    </w:p>
    <w:p w14:paraId="7EBB3695" w14:textId="77777777" w:rsidR="007274F1" w:rsidRPr="002F5252" w:rsidRDefault="007274F1" w:rsidP="007274F1">
      <w:pPr>
        <w:pStyle w:val="NormalWeb"/>
        <w:rPr>
          <w:sz w:val="28"/>
          <w:szCs w:val="28"/>
        </w:rPr>
      </w:pPr>
      <w:r w:rsidRPr="002F5252">
        <w:rPr>
          <w:sz w:val="28"/>
          <w:szCs w:val="28"/>
        </w:rPr>
        <w:t xml:space="preserve">Europe often leads in waste management. The EU-27 averaged a </w:t>
      </w:r>
      <w:r w:rsidRPr="002F5252">
        <w:rPr>
          <w:rStyle w:val="Strong"/>
          <w:rFonts w:eastAsiaTheme="majorEastAsia"/>
          <w:sz w:val="28"/>
          <w:szCs w:val="28"/>
        </w:rPr>
        <w:t>41 percent recycling rate for plastic packaging in 2022</w:t>
      </w:r>
      <w:r w:rsidRPr="002F5252">
        <w:rPr>
          <w:sz w:val="28"/>
          <w:szCs w:val="28"/>
        </w:rPr>
        <w:t xml:space="preserve"> (Eurostat </w:t>
      </w:r>
      <w:hyperlink r:id="rId11" w:history="1">
        <w:r w:rsidRPr="002F5252">
          <w:rPr>
            <w:rStyle w:val="Hyperlink"/>
            <w:rFonts w:eastAsiaTheme="majorEastAsia"/>
            <w:color w:val="auto"/>
            <w:sz w:val="28"/>
            <w:szCs w:val="28"/>
          </w:rPr>
          <w:t>https://ec.europa.eu/eurostat/statistics-explained/index.php/Packaging_waste_statistics</w:t>
        </w:r>
      </w:hyperlink>
      <w:r w:rsidRPr="002F5252">
        <w:rPr>
          <w:sz w:val="28"/>
          <w:szCs w:val="28"/>
        </w:rPr>
        <w:t>), up from 24 percent in 2005, driven by binding directives and investment. The EU’s circular economy framework (</w:t>
      </w:r>
      <w:hyperlink r:id="rId12" w:history="1">
        <w:r w:rsidRPr="002F5252">
          <w:rPr>
            <w:rStyle w:val="Hyperlink"/>
            <w:rFonts w:eastAsiaTheme="majorEastAsia"/>
            <w:color w:val="auto"/>
            <w:sz w:val="28"/>
            <w:szCs w:val="28"/>
          </w:rPr>
          <w:t>https://ec.europa.eu/environment/circular-economy</w:t>
        </w:r>
      </w:hyperlink>
      <w:r w:rsidRPr="002F5252">
        <w:rPr>
          <w:sz w:val="28"/>
          <w:szCs w:val="28"/>
        </w:rPr>
        <w:t>) further emphasizes packaging redesign and recycled content targets. Yet performance varies:</w:t>
      </w:r>
    </w:p>
    <w:p w14:paraId="6F29DED9" w14:textId="77777777" w:rsidR="007274F1" w:rsidRPr="002F5252" w:rsidRDefault="007274F1" w:rsidP="007274F1">
      <w:pPr>
        <w:pStyle w:val="NormalWeb"/>
        <w:numPr>
          <w:ilvl w:val="0"/>
          <w:numId w:val="7"/>
        </w:numPr>
        <w:rPr>
          <w:sz w:val="28"/>
          <w:szCs w:val="28"/>
        </w:rPr>
      </w:pPr>
      <w:r w:rsidRPr="002F5252">
        <w:rPr>
          <w:rStyle w:val="Strong"/>
          <w:rFonts w:eastAsiaTheme="majorEastAsia"/>
          <w:sz w:val="28"/>
          <w:szCs w:val="28"/>
        </w:rPr>
        <w:lastRenderedPageBreak/>
        <w:t>Germany</w:t>
      </w:r>
      <w:r w:rsidRPr="002F5252">
        <w:rPr>
          <w:sz w:val="28"/>
          <w:szCs w:val="28"/>
        </w:rPr>
        <w:t xml:space="preserve"> recycles about </w:t>
      </w:r>
      <w:r w:rsidRPr="002F5252">
        <w:rPr>
          <w:rStyle w:val="Strong"/>
          <w:rFonts w:eastAsiaTheme="majorEastAsia"/>
          <w:sz w:val="28"/>
          <w:szCs w:val="28"/>
        </w:rPr>
        <w:t>50–51 percent of plastic packaging</w:t>
      </w:r>
      <w:r w:rsidRPr="002F5252">
        <w:rPr>
          <w:sz w:val="28"/>
          <w:szCs w:val="28"/>
        </w:rPr>
        <w:t>, thanks to its long-running Green Dot program and strict household source-separation culture.</w:t>
      </w:r>
    </w:p>
    <w:p w14:paraId="34571A40" w14:textId="77777777" w:rsidR="007274F1" w:rsidRPr="002F5252" w:rsidRDefault="007274F1" w:rsidP="007274F1">
      <w:pPr>
        <w:pStyle w:val="NormalWeb"/>
        <w:numPr>
          <w:ilvl w:val="0"/>
          <w:numId w:val="7"/>
        </w:numPr>
        <w:rPr>
          <w:sz w:val="28"/>
          <w:szCs w:val="28"/>
        </w:rPr>
      </w:pPr>
      <w:r w:rsidRPr="002F5252">
        <w:rPr>
          <w:rStyle w:val="Strong"/>
          <w:rFonts w:eastAsiaTheme="majorEastAsia"/>
          <w:sz w:val="28"/>
          <w:szCs w:val="28"/>
        </w:rPr>
        <w:t>Sweden</w:t>
      </w:r>
      <w:r w:rsidRPr="002F5252">
        <w:rPr>
          <w:sz w:val="28"/>
          <w:szCs w:val="28"/>
        </w:rPr>
        <w:t xml:space="preserve"> achieves only </w:t>
      </w:r>
      <w:r w:rsidRPr="002F5252">
        <w:rPr>
          <w:rStyle w:val="Strong"/>
          <w:rFonts w:eastAsiaTheme="majorEastAsia"/>
          <w:sz w:val="28"/>
          <w:szCs w:val="28"/>
        </w:rPr>
        <w:t>8–10 percent material recycling</w:t>
      </w:r>
      <w:r w:rsidRPr="002F5252">
        <w:rPr>
          <w:sz w:val="28"/>
          <w:szCs w:val="28"/>
        </w:rPr>
        <w:t xml:space="preserve">, incinerating </w:t>
      </w:r>
      <w:r w:rsidRPr="002F5252">
        <w:rPr>
          <w:rStyle w:val="Strong"/>
          <w:rFonts w:eastAsiaTheme="majorEastAsia"/>
          <w:sz w:val="28"/>
          <w:szCs w:val="28"/>
        </w:rPr>
        <w:t>80 percent</w:t>
      </w:r>
      <w:r w:rsidRPr="002F5252">
        <w:rPr>
          <w:sz w:val="28"/>
          <w:szCs w:val="28"/>
        </w:rPr>
        <w:t xml:space="preserve"> of its plastic for energy, raising questions about true circularity.</w:t>
      </w:r>
    </w:p>
    <w:p w14:paraId="0C96E6FD" w14:textId="77777777" w:rsidR="007274F1" w:rsidRPr="002F5252" w:rsidRDefault="007274F1" w:rsidP="007274F1">
      <w:pPr>
        <w:pStyle w:val="NormalWeb"/>
        <w:numPr>
          <w:ilvl w:val="0"/>
          <w:numId w:val="7"/>
        </w:numPr>
        <w:rPr>
          <w:sz w:val="28"/>
          <w:szCs w:val="28"/>
        </w:rPr>
      </w:pPr>
      <w:r w:rsidRPr="002F5252">
        <w:rPr>
          <w:rStyle w:val="Strong"/>
          <w:rFonts w:eastAsiaTheme="majorEastAsia"/>
          <w:sz w:val="28"/>
          <w:szCs w:val="28"/>
        </w:rPr>
        <w:t>Norway</w:t>
      </w:r>
      <w:r w:rsidRPr="002F5252">
        <w:rPr>
          <w:sz w:val="28"/>
          <w:szCs w:val="28"/>
        </w:rPr>
        <w:t xml:space="preserve"> boasts a </w:t>
      </w:r>
      <w:r w:rsidRPr="002F5252">
        <w:rPr>
          <w:rStyle w:val="Strong"/>
          <w:rFonts w:eastAsiaTheme="majorEastAsia"/>
          <w:sz w:val="28"/>
          <w:szCs w:val="28"/>
        </w:rPr>
        <w:t>97 percent return rate for plastic beverage bottles</w:t>
      </w:r>
      <w:r w:rsidRPr="002F5252">
        <w:rPr>
          <w:sz w:val="28"/>
          <w:szCs w:val="28"/>
        </w:rPr>
        <w:t xml:space="preserve"> but recycles under 30 percent of all plastics, relying heavily on waste-to-energy.</w:t>
      </w:r>
    </w:p>
    <w:p w14:paraId="1428344E" w14:textId="77777777" w:rsidR="007274F1" w:rsidRPr="002F5252" w:rsidRDefault="007274F1" w:rsidP="007274F1">
      <w:pPr>
        <w:pStyle w:val="NormalWeb"/>
        <w:numPr>
          <w:ilvl w:val="0"/>
          <w:numId w:val="7"/>
        </w:numPr>
        <w:rPr>
          <w:sz w:val="28"/>
          <w:szCs w:val="28"/>
        </w:rPr>
      </w:pPr>
      <w:r w:rsidRPr="002F5252">
        <w:rPr>
          <w:rStyle w:val="Strong"/>
          <w:rFonts w:eastAsiaTheme="majorEastAsia"/>
          <w:sz w:val="28"/>
          <w:szCs w:val="28"/>
        </w:rPr>
        <w:t>France</w:t>
      </w:r>
      <w:r w:rsidRPr="002F5252">
        <w:rPr>
          <w:sz w:val="28"/>
          <w:szCs w:val="28"/>
        </w:rPr>
        <w:t xml:space="preserve"> recycled </w:t>
      </w:r>
      <w:r w:rsidRPr="002F5252">
        <w:rPr>
          <w:rStyle w:val="Strong"/>
          <w:rFonts w:eastAsiaTheme="majorEastAsia"/>
          <w:sz w:val="28"/>
          <w:szCs w:val="28"/>
        </w:rPr>
        <w:t>25 percent of its packaging</w:t>
      </w:r>
      <w:r w:rsidRPr="002F5252">
        <w:rPr>
          <w:sz w:val="28"/>
          <w:szCs w:val="28"/>
        </w:rPr>
        <w:t xml:space="preserve"> in 2022, prompting new deposit schemes and mandates for recycled content.</w:t>
      </w:r>
    </w:p>
    <w:p w14:paraId="656B573F" w14:textId="77777777" w:rsidR="007274F1" w:rsidRPr="002F5252" w:rsidRDefault="007274F1" w:rsidP="007274F1">
      <w:pPr>
        <w:pStyle w:val="NormalWeb"/>
        <w:numPr>
          <w:ilvl w:val="0"/>
          <w:numId w:val="7"/>
        </w:numPr>
        <w:rPr>
          <w:sz w:val="28"/>
          <w:szCs w:val="28"/>
        </w:rPr>
      </w:pPr>
      <w:r w:rsidRPr="002F5252">
        <w:rPr>
          <w:rStyle w:val="Strong"/>
          <w:rFonts w:eastAsiaTheme="majorEastAsia"/>
          <w:sz w:val="28"/>
          <w:szCs w:val="28"/>
        </w:rPr>
        <w:t>Italy</w:t>
      </w:r>
      <w:r w:rsidRPr="002F5252">
        <w:rPr>
          <w:sz w:val="28"/>
          <w:szCs w:val="28"/>
        </w:rPr>
        <w:t xml:space="preserve"> collected over </w:t>
      </w:r>
      <w:r w:rsidRPr="002F5252">
        <w:rPr>
          <w:rStyle w:val="Strong"/>
          <w:rFonts w:eastAsiaTheme="majorEastAsia"/>
          <w:sz w:val="28"/>
          <w:szCs w:val="28"/>
        </w:rPr>
        <w:t>1.05 million tonnes</w:t>
      </w:r>
      <w:r w:rsidRPr="002F5252">
        <w:rPr>
          <w:sz w:val="28"/>
          <w:szCs w:val="28"/>
        </w:rPr>
        <w:t xml:space="preserve"> of packaging for recycling in 2022 through </w:t>
      </w:r>
      <w:proofErr w:type="spellStart"/>
      <w:r w:rsidRPr="002F5252">
        <w:rPr>
          <w:sz w:val="28"/>
          <w:szCs w:val="28"/>
        </w:rPr>
        <w:t>Corepla</w:t>
      </w:r>
      <w:proofErr w:type="spellEnd"/>
      <w:r w:rsidRPr="002F5252">
        <w:rPr>
          <w:sz w:val="28"/>
          <w:szCs w:val="28"/>
        </w:rPr>
        <w:t>, equating to roughly 45–50 percent recycling.</w:t>
      </w:r>
    </w:p>
    <w:p w14:paraId="61FEED97" w14:textId="77777777" w:rsidR="007274F1" w:rsidRPr="002F5252" w:rsidRDefault="007274F1" w:rsidP="007274F1">
      <w:pPr>
        <w:pStyle w:val="NormalWeb"/>
        <w:numPr>
          <w:ilvl w:val="0"/>
          <w:numId w:val="7"/>
        </w:numPr>
        <w:rPr>
          <w:sz w:val="28"/>
          <w:szCs w:val="28"/>
        </w:rPr>
      </w:pPr>
      <w:r w:rsidRPr="002F5252">
        <w:rPr>
          <w:rStyle w:val="Strong"/>
          <w:rFonts w:eastAsiaTheme="majorEastAsia"/>
          <w:sz w:val="28"/>
          <w:szCs w:val="28"/>
        </w:rPr>
        <w:t>United Kingdom</w:t>
      </w:r>
      <w:r w:rsidRPr="002F5252">
        <w:rPr>
          <w:sz w:val="28"/>
          <w:szCs w:val="28"/>
        </w:rPr>
        <w:t xml:space="preserve"> claims </w:t>
      </w:r>
      <w:r w:rsidRPr="002F5252">
        <w:rPr>
          <w:rStyle w:val="Strong"/>
          <w:rFonts w:eastAsiaTheme="majorEastAsia"/>
          <w:sz w:val="28"/>
          <w:szCs w:val="28"/>
        </w:rPr>
        <w:t>52 percent packaging recovery</w:t>
      </w:r>
      <w:r w:rsidRPr="002F5252">
        <w:rPr>
          <w:sz w:val="28"/>
          <w:szCs w:val="28"/>
        </w:rPr>
        <w:t xml:space="preserve">, but the independent Big Plastic Count (2024) found material recycling closer to </w:t>
      </w:r>
      <w:r w:rsidRPr="002F5252">
        <w:rPr>
          <w:rStyle w:val="Strong"/>
          <w:rFonts w:eastAsiaTheme="majorEastAsia"/>
          <w:sz w:val="28"/>
          <w:szCs w:val="28"/>
        </w:rPr>
        <w:t>17 percent</w:t>
      </w:r>
      <w:r w:rsidRPr="002F5252">
        <w:rPr>
          <w:sz w:val="28"/>
          <w:szCs w:val="28"/>
        </w:rPr>
        <w:t>, highlighting the gap between collection and true reprocessing.</w:t>
      </w:r>
    </w:p>
    <w:p w14:paraId="0BEDB4AB" w14:textId="77777777" w:rsidR="007274F1" w:rsidRPr="002F5252" w:rsidRDefault="007274F1" w:rsidP="007274F1">
      <w:pPr>
        <w:pStyle w:val="NormalWeb"/>
        <w:rPr>
          <w:sz w:val="28"/>
          <w:szCs w:val="28"/>
        </w:rPr>
      </w:pPr>
      <w:r w:rsidRPr="002F5252">
        <w:rPr>
          <w:sz w:val="28"/>
          <w:szCs w:val="28"/>
        </w:rPr>
        <w:t>Industry data from Plastics Europe (</w:t>
      </w:r>
      <w:hyperlink r:id="rId13" w:history="1">
        <w:r w:rsidRPr="002F5252">
          <w:rPr>
            <w:rStyle w:val="Hyperlink"/>
            <w:rFonts w:eastAsiaTheme="majorEastAsia"/>
            <w:color w:val="auto"/>
            <w:sz w:val="28"/>
            <w:szCs w:val="28"/>
          </w:rPr>
          <w:t>https://www.plasticseurope.org/en</w:t>
        </w:r>
      </w:hyperlink>
      <w:r w:rsidRPr="002F5252">
        <w:rPr>
          <w:sz w:val="28"/>
          <w:szCs w:val="28"/>
        </w:rPr>
        <w:t xml:space="preserve">) reveal that only </w:t>
      </w:r>
      <w:r w:rsidRPr="002F5252">
        <w:rPr>
          <w:rStyle w:val="Strong"/>
          <w:rFonts w:eastAsiaTheme="majorEastAsia"/>
          <w:sz w:val="28"/>
          <w:szCs w:val="28"/>
        </w:rPr>
        <w:t>7 percent of recycled packaging</w:t>
      </w:r>
      <w:r w:rsidRPr="002F5252">
        <w:rPr>
          <w:sz w:val="28"/>
          <w:szCs w:val="28"/>
        </w:rPr>
        <w:t xml:space="preserve"> is converted into new packaging locally, underscoring losses in sorting and reprocessing. Europe’s experience demonstrates that </w:t>
      </w:r>
      <w:r w:rsidRPr="002F5252">
        <w:rPr>
          <w:rStyle w:val="Strong"/>
          <w:rFonts w:eastAsiaTheme="majorEastAsia"/>
          <w:sz w:val="28"/>
          <w:szCs w:val="28"/>
        </w:rPr>
        <w:t>binding policy can drive recycling above 50 percent</w:t>
      </w:r>
      <w:r w:rsidRPr="002F5252">
        <w:rPr>
          <w:sz w:val="28"/>
          <w:szCs w:val="28"/>
        </w:rPr>
        <w:t>, but material circularity remains constrained without simultaneous waste reduction.</w:t>
      </w:r>
    </w:p>
    <w:p w14:paraId="3938AC6F" w14:textId="77777777" w:rsidR="007274F1" w:rsidRPr="002F5252" w:rsidRDefault="00123779" w:rsidP="007274F1">
      <w:pPr>
        <w:rPr>
          <w:sz w:val="28"/>
          <w:szCs w:val="28"/>
        </w:rPr>
      </w:pPr>
      <w:r>
        <w:rPr>
          <w:noProof/>
        </w:rPr>
      </w:r>
      <w:r>
        <w:pict w14:anchorId="1D682229">
          <v:rect id="Horizontal Line 3" o:spid="_x0000_s1029"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NPhb/XbAAAABwEAAA8AAAAAAAAAAAAAAAAAugQAAGRycy9kb3du&#13;&#10;cmV2LnhtbFBLBQYAAAAABAAEAPMAAADCBQAAAAA=&#13;&#10;" filled="f">
            <o:lock v:ext="edit" rotation="t" aspectratio="t" verticies="t" text="t" shapetype="t"/>
            <w10:anchorlock/>
          </v:rect>
        </w:pict>
      </w:r>
    </w:p>
    <w:p w14:paraId="4E3BED86" w14:textId="77777777" w:rsidR="007274F1" w:rsidRPr="002F5252" w:rsidRDefault="007274F1" w:rsidP="007274F1">
      <w:pPr>
        <w:pStyle w:val="Heading2"/>
        <w:rPr>
          <w:rFonts w:ascii="Times New Roman" w:hAnsi="Times New Roman" w:cs="Times New Roman"/>
          <w:color w:val="auto"/>
          <w:sz w:val="28"/>
          <w:szCs w:val="28"/>
        </w:rPr>
      </w:pPr>
      <w:r w:rsidRPr="002F5252">
        <w:rPr>
          <w:rFonts w:ascii="Times New Roman" w:hAnsi="Times New Roman" w:cs="Times New Roman"/>
          <w:color w:val="auto"/>
          <w:sz w:val="28"/>
          <w:szCs w:val="28"/>
        </w:rPr>
        <w:t>Asia: Divergent Paths in East and Southeast</w:t>
      </w:r>
    </w:p>
    <w:p w14:paraId="6C14074B" w14:textId="77777777" w:rsidR="007274F1" w:rsidRPr="002F5252" w:rsidRDefault="007274F1" w:rsidP="007274F1">
      <w:pPr>
        <w:pStyle w:val="NormalWeb"/>
        <w:rPr>
          <w:sz w:val="28"/>
          <w:szCs w:val="28"/>
        </w:rPr>
      </w:pPr>
      <w:r w:rsidRPr="002F5252">
        <w:rPr>
          <w:rStyle w:val="Strong"/>
          <w:rFonts w:eastAsiaTheme="majorEastAsia"/>
          <w:sz w:val="28"/>
          <w:szCs w:val="28"/>
        </w:rPr>
        <w:t>China</w:t>
      </w:r>
      <w:r w:rsidRPr="002F5252">
        <w:rPr>
          <w:sz w:val="28"/>
          <w:szCs w:val="28"/>
        </w:rPr>
        <w:br/>
      </w:r>
      <w:proofErr w:type="spellStart"/>
      <w:r w:rsidRPr="002F5252">
        <w:rPr>
          <w:sz w:val="28"/>
          <w:szCs w:val="28"/>
        </w:rPr>
        <w:t>China</w:t>
      </w:r>
      <w:proofErr w:type="spellEnd"/>
      <w:r w:rsidRPr="002F5252">
        <w:rPr>
          <w:sz w:val="28"/>
          <w:szCs w:val="28"/>
        </w:rPr>
        <w:t xml:space="preserve"> reports a </w:t>
      </w:r>
      <w:r w:rsidRPr="002F5252">
        <w:rPr>
          <w:rStyle w:val="Strong"/>
          <w:rFonts w:eastAsiaTheme="majorEastAsia"/>
          <w:sz w:val="28"/>
          <w:szCs w:val="28"/>
        </w:rPr>
        <w:t>31 percent plastic recycling rate</w:t>
      </w:r>
      <w:r w:rsidRPr="002F5252">
        <w:rPr>
          <w:sz w:val="28"/>
          <w:szCs w:val="28"/>
        </w:rPr>
        <w:t xml:space="preserve"> domestically, processing tens of millions of tonnes annually. Following its 2018 import ban, China has invested heavily in waste sorting and recycling industries, supporting its “zero landfill” ambitions.</w:t>
      </w:r>
    </w:p>
    <w:p w14:paraId="5768AB60" w14:textId="77777777" w:rsidR="007274F1" w:rsidRPr="002F5252" w:rsidRDefault="007274F1" w:rsidP="007274F1">
      <w:pPr>
        <w:pStyle w:val="NormalWeb"/>
        <w:rPr>
          <w:sz w:val="28"/>
          <w:szCs w:val="28"/>
        </w:rPr>
      </w:pPr>
      <w:r w:rsidRPr="002F5252">
        <w:rPr>
          <w:rStyle w:val="Strong"/>
          <w:rFonts w:eastAsiaTheme="majorEastAsia"/>
          <w:sz w:val="28"/>
          <w:szCs w:val="28"/>
        </w:rPr>
        <w:t>Japan</w:t>
      </w:r>
      <w:r w:rsidRPr="002F5252">
        <w:rPr>
          <w:sz w:val="28"/>
          <w:szCs w:val="28"/>
        </w:rPr>
        <w:br/>
      </w:r>
      <w:proofErr w:type="spellStart"/>
      <w:r w:rsidRPr="002F5252">
        <w:rPr>
          <w:sz w:val="28"/>
          <w:szCs w:val="28"/>
        </w:rPr>
        <w:t>Japan</w:t>
      </w:r>
      <w:proofErr w:type="spellEnd"/>
      <w:r w:rsidRPr="002F5252">
        <w:rPr>
          <w:sz w:val="28"/>
          <w:szCs w:val="28"/>
        </w:rPr>
        <w:t xml:space="preserve"> advertises an </w:t>
      </w:r>
      <w:r w:rsidRPr="002F5252">
        <w:rPr>
          <w:rStyle w:val="Strong"/>
          <w:rFonts w:eastAsiaTheme="majorEastAsia"/>
          <w:sz w:val="28"/>
          <w:szCs w:val="28"/>
        </w:rPr>
        <w:t>87 percent recycling rate</w:t>
      </w:r>
      <w:r w:rsidRPr="002F5252">
        <w:rPr>
          <w:sz w:val="28"/>
          <w:szCs w:val="28"/>
        </w:rPr>
        <w:t xml:space="preserve">, but </w:t>
      </w:r>
      <w:r w:rsidRPr="002F5252">
        <w:rPr>
          <w:rStyle w:val="Strong"/>
          <w:rFonts w:eastAsiaTheme="majorEastAsia"/>
          <w:sz w:val="28"/>
          <w:szCs w:val="28"/>
        </w:rPr>
        <w:t>62 percent</w:t>
      </w:r>
      <w:r w:rsidRPr="002F5252">
        <w:rPr>
          <w:sz w:val="28"/>
          <w:szCs w:val="28"/>
        </w:rPr>
        <w:t xml:space="preserve"> of that is </w:t>
      </w:r>
      <w:r w:rsidRPr="002F5252">
        <w:rPr>
          <w:rStyle w:val="Strong"/>
          <w:rFonts w:eastAsiaTheme="majorEastAsia"/>
          <w:sz w:val="28"/>
          <w:szCs w:val="28"/>
        </w:rPr>
        <w:t>thermal recycling</w:t>
      </w:r>
      <w:r w:rsidRPr="002F5252">
        <w:rPr>
          <w:sz w:val="28"/>
          <w:szCs w:val="28"/>
        </w:rPr>
        <w:t xml:space="preserve"> (incineration with energy recovery). True material recycling stands at about </w:t>
      </w:r>
      <w:r w:rsidRPr="002F5252">
        <w:rPr>
          <w:rStyle w:val="Strong"/>
          <w:rFonts w:eastAsiaTheme="majorEastAsia"/>
          <w:sz w:val="28"/>
          <w:szCs w:val="28"/>
        </w:rPr>
        <w:t>25 percent</w:t>
      </w:r>
      <w:r w:rsidRPr="002F5252">
        <w:rPr>
          <w:sz w:val="28"/>
          <w:szCs w:val="28"/>
        </w:rPr>
        <w:t>. Citizens meticulously sort waste, and PET bottle collection exceeds 90 percent (</w:t>
      </w:r>
      <w:hyperlink r:id="rId14" w:history="1">
        <w:r w:rsidRPr="002F5252">
          <w:rPr>
            <w:rStyle w:val="Hyperlink"/>
            <w:rFonts w:eastAsiaTheme="majorEastAsia"/>
            <w:color w:val="auto"/>
            <w:sz w:val="28"/>
            <w:szCs w:val="28"/>
          </w:rPr>
          <w:t>https://japan-forward.com/plastic-recycling-japan</w:t>
        </w:r>
      </w:hyperlink>
      <w:r w:rsidRPr="002F5252">
        <w:rPr>
          <w:sz w:val="28"/>
          <w:szCs w:val="28"/>
        </w:rPr>
        <w:t>), yet films and mixed plastics remain challenging.</w:t>
      </w:r>
    </w:p>
    <w:p w14:paraId="658367B3" w14:textId="77777777" w:rsidR="007274F1" w:rsidRPr="002F5252" w:rsidRDefault="007274F1" w:rsidP="007274F1">
      <w:pPr>
        <w:pStyle w:val="NormalWeb"/>
        <w:rPr>
          <w:sz w:val="28"/>
          <w:szCs w:val="28"/>
        </w:rPr>
      </w:pPr>
      <w:r w:rsidRPr="002F5252">
        <w:rPr>
          <w:rStyle w:val="Strong"/>
          <w:rFonts w:eastAsiaTheme="majorEastAsia"/>
          <w:sz w:val="28"/>
          <w:szCs w:val="28"/>
        </w:rPr>
        <w:t>South Korea</w:t>
      </w:r>
      <w:r w:rsidRPr="002F5252">
        <w:rPr>
          <w:sz w:val="28"/>
          <w:szCs w:val="28"/>
        </w:rPr>
        <w:br/>
        <w:t xml:space="preserve">South Korea’s official </w:t>
      </w:r>
      <w:r w:rsidRPr="002F5252">
        <w:rPr>
          <w:rStyle w:val="Strong"/>
          <w:rFonts w:eastAsiaTheme="majorEastAsia"/>
          <w:sz w:val="28"/>
          <w:szCs w:val="28"/>
        </w:rPr>
        <w:t>73 percent recycling claim</w:t>
      </w:r>
      <w:r w:rsidRPr="002F5252">
        <w:rPr>
          <w:sz w:val="28"/>
          <w:szCs w:val="28"/>
        </w:rPr>
        <w:t xml:space="preserve"> was revised downward: Greenpeace East Asia (</w:t>
      </w:r>
      <w:hyperlink r:id="rId15" w:history="1">
        <w:r w:rsidRPr="002F5252">
          <w:rPr>
            <w:rStyle w:val="Hyperlink"/>
            <w:rFonts w:eastAsiaTheme="majorEastAsia"/>
            <w:color w:val="auto"/>
            <w:sz w:val="28"/>
            <w:szCs w:val="28"/>
          </w:rPr>
          <w:t>https://www.greenpeace.org/eastasia</w:t>
        </w:r>
      </w:hyperlink>
      <w:r w:rsidRPr="002F5252">
        <w:rPr>
          <w:sz w:val="28"/>
          <w:szCs w:val="28"/>
        </w:rPr>
        <w:t xml:space="preserve">) and independent analyses place true material recycling at </w:t>
      </w:r>
      <w:r w:rsidRPr="002F5252">
        <w:rPr>
          <w:rStyle w:val="Strong"/>
          <w:rFonts w:eastAsiaTheme="majorEastAsia"/>
          <w:sz w:val="28"/>
          <w:szCs w:val="28"/>
        </w:rPr>
        <w:t>27–30 percent</w:t>
      </w:r>
      <w:r w:rsidRPr="002F5252">
        <w:rPr>
          <w:sz w:val="28"/>
          <w:szCs w:val="28"/>
        </w:rPr>
        <w:t>. South Korea’s volume-</w:t>
      </w:r>
      <w:r w:rsidRPr="002F5252">
        <w:rPr>
          <w:sz w:val="28"/>
          <w:szCs w:val="28"/>
        </w:rPr>
        <w:lastRenderedPageBreak/>
        <w:t>based waste fees and EPR schemes have driven collection, but market demand for recycled resin lags.</w:t>
      </w:r>
    </w:p>
    <w:p w14:paraId="7D2E3875" w14:textId="77777777" w:rsidR="007274F1" w:rsidRPr="002F5252" w:rsidRDefault="007274F1" w:rsidP="007274F1">
      <w:pPr>
        <w:pStyle w:val="NormalWeb"/>
        <w:rPr>
          <w:sz w:val="28"/>
          <w:szCs w:val="28"/>
        </w:rPr>
      </w:pPr>
      <w:r w:rsidRPr="002F5252">
        <w:rPr>
          <w:rStyle w:val="Strong"/>
          <w:rFonts w:eastAsiaTheme="majorEastAsia"/>
          <w:sz w:val="28"/>
          <w:szCs w:val="28"/>
        </w:rPr>
        <w:t>Singapore</w:t>
      </w:r>
      <w:r w:rsidRPr="002F5252">
        <w:rPr>
          <w:sz w:val="28"/>
          <w:szCs w:val="28"/>
        </w:rPr>
        <w:br/>
      </w:r>
      <w:proofErr w:type="spellStart"/>
      <w:r w:rsidRPr="002F5252">
        <w:rPr>
          <w:sz w:val="28"/>
          <w:szCs w:val="28"/>
        </w:rPr>
        <w:t>Singapore</w:t>
      </w:r>
      <w:proofErr w:type="spellEnd"/>
      <w:r w:rsidRPr="002F5252">
        <w:rPr>
          <w:sz w:val="28"/>
          <w:szCs w:val="28"/>
        </w:rPr>
        <w:t xml:space="preserve"> incinerates </w:t>
      </w:r>
      <w:r w:rsidRPr="002F5252">
        <w:rPr>
          <w:rStyle w:val="Strong"/>
          <w:rFonts w:eastAsiaTheme="majorEastAsia"/>
          <w:sz w:val="28"/>
          <w:szCs w:val="28"/>
        </w:rPr>
        <w:t>94 percent</w:t>
      </w:r>
      <w:r w:rsidRPr="002F5252">
        <w:rPr>
          <w:sz w:val="28"/>
          <w:szCs w:val="28"/>
        </w:rPr>
        <w:t xml:space="preserve"> of its total waste in </w:t>
      </w:r>
      <w:proofErr w:type="spellStart"/>
      <w:r w:rsidRPr="002F5252">
        <w:rPr>
          <w:sz w:val="28"/>
          <w:szCs w:val="28"/>
        </w:rPr>
        <w:t>WtE</w:t>
      </w:r>
      <w:proofErr w:type="spellEnd"/>
      <w:r w:rsidRPr="002F5252">
        <w:rPr>
          <w:sz w:val="28"/>
          <w:szCs w:val="28"/>
        </w:rPr>
        <w:t xml:space="preserve"> plants, with only </w:t>
      </w:r>
      <w:r w:rsidRPr="002F5252">
        <w:rPr>
          <w:rStyle w:val="Strong"/>
          <w:rFonts w:eastAsiaTheme="majorEastAsia"/>
          <w:sz w:val="28"/>
          <w:szCs w:val="28"/>
        </w:rPr>
        <w:t>5 percent of plastics recycled</w:t>
      </w:r>
      <w:r w:rsidRPr="002F5252">
        <w:rPr>
          <w:sz w:val="28"/>
          <w:szCs w:val="28"/>
        </w:rPr>
        <w:t xml:space="preserve"> (</w:t>
      </w:r>
      <w:hyperlink r:id="rId16" w:history="1">
        <w:r w:rsidRPr="002F5252">
          <w:rPr>
            <w:rStyle w:val="Hyperlink"/>
            <w:rFonts w:eastAsiaTheme="majorEastAsia"/>
            <w:color w:val="auto"/>
            <w:sz w:val="28"/>
            <w:szCs w:val="28"/>
          </w:rPr>
          <w:t>https://www.reuters.com/world/asia-pacific</w:t>
        </w:r>
      </w:hyperlink>
      <w:r w:rsidRPr="002F5252">
        <w:rPr>
          <w:sz w:val="28"/>
          <w:szCs w:val="28"/>
        </w:rPr>
        <w:t>). Land scarcity mandates incineration over sorting, resulting in minimal circularity despite clean streets.</w:t>
      </w:r>
    </w:p>
    <w:p w14:paraId="7138D910" w14:textId="77777777" w:rsidR="007274F1" w:rsidRPr="002F5252" w:rsidRDefault="007274F1" w:rsidP="007274F1">
      <w:pPr>
        <w:pStyle w:val="NormalWeb"/>
        <w:rPr>
          <w:sz w:val="28"/>
          <w:szCs w:val="28"/>
        </w:rPr>
      </w:pPr>
      <w:r w:rsidRPr="002F5252">
        <w:rPr>
          <w:rStyle w:val="Strong"/>
          <w:rFonts w:eastAsiaTheme="majorEastAsia"/>
          <w:sz w:val="28"/>
          <w:szCs w:val="28"/>
        </w:rPr>
        <w:t>Malaysia &amp; Thailand</w:t>
      </w:r>
      <w:r w:rsidRPr="002F5252">
        <w:rPr>
          <w:sz w:val="28"/>
          <w:szCs w:val="28"/>
        </w:rPr>
        <w:br/>
        <w:t xml:space="preserve">After surges in imported scrap post-China ban, </w:t>
      </w:r>
      <w:r w:rsidRPr="002F5252">
        <w:rPr>
          <w:rStyle w:val="Strong"/>
          <w:rFonts w:eastAsiaTheme="majorEastAsia"/>
          <w:sz w:val="28"/>
          <w:szCs w:val="28"/>
        </w:rPr>
        <w:t>Malaysia</w:t>
      </w:r>
      <w:r w:rsidRPr="002F5252">
        <w:rPr>
          <w:sz w:val="28"/>
          <w:szCs w:val="28"/>
        </w:rPr>
        <w:t xml:space="preserve"> recycled </w:t>
      </w:r>
      <w:r w:rsidRPr="002F5252">
        <w:rPr>
          <w:rStyle w:val="Strong"/>
          <w:rFonts w:eastAsiaTheme="majorEastAsia"/>
          <w:sz w:val="28"/>
          <w:szCs w:val="28"/>
        </w:rPr>
        <w:t>18 percent</w:t>
      </w:r>
      <w:r w:rsidRPr="002F5252">
        <w:rPr>
          <w:sz w:val="28"/>
          <w:szCs w:val="28"/>
        </w:rPr>
        <w:t xml:space="preserve"> of its domestic plastic waste in 2022, guided by its National Circular Economy Action Plan. </w:t>
      </w:r>
      <w:r w:rsidRPr="002F5252">
        <w:rPr>
          <w:rStyle w:val="Strong"/>
          <w:rFonts w:eastAsiaTheme="majorEastAsia"/>
          <w:sz w:val="28"/>
          <w:szCs w:val="28"/>
        </w:rPr>
        <w:t>Thailand</w:t>
      </w:r>
      <w:r w:rsidRPr="002F5252">
        <w:rPr>
          <w:sz w:val="28"/>
          <w:szCs w:val="28"/>
        </w:rPr>
        <w:t>, long criticized for ocean-bound plastic, now recycles in the teens percent and aims for full recyclability by 2027.</w:t>
      </w:r>
    </w:p>
    <w:p w14:paraId="2CEC1EB2" w14:textId="77777777" w:rsidR="007274F1" w:rsidRPr="002F5252" w:rsidRDefault="00123779" w:rsidP="007274F1">
      <w:pPr>
        <w:rPr>
          <w:sz w:val="28"/>
          <w:szCs w:val="28"/>
        </w:rPr>
      </w:pPr>
      <w:r w:rsidRPr="00123779">
        <w:rPr>
          <w:noProof/>
          <w:sz w:val="28"/>
          <w:szCs w:val="28"/>
          <w14:ligatures w14:val="standardContextual"/>
        </w:rPr>
        <w:pict w14:anchorId="7C720AE5">
          <v:rect id="_x0000_i1028" alt="" style="width:451.3pt;height:.05pt;mso-width-percent:0;mso-height-percent:0;mso-width-percent:0;mso-height-percent:0" o:hralign="center" o:hrstd="t" o:hr="t" fillcolor="#a0a0a0" stroked="f"/>
        </w:pict>
      </w:r>
    </w:p>
    <w:p w14:paraId="79624B15" w14:textId="77777777" w:rsidR="007274F1" w:rsidRPr="002F5252" w:rsidRDefault="007274F1" w:rsidP="007274F1">
      <w:pPr>
        <w:pStyle w:val="Heading2"/>
        <w:rPr>
          <w:rFonts w:ascii="Times New Roman" w:hAnsi="Times New Roman" w:cs="Times New Roman"/>
          <w:color w:val="auto"/>
          <w:sz w:val="28"/>
          <w:szCs w:val="28"/>
        </w:rPr>
      </w:pPr>
      <w:r w:rsidRPr="002F5252">
        <w:rPr>
          <w:rFonts w:ascii="Times New Roman" w:hAnsi="Times New Roman" w:cs="Times New Roman"/>
          <w:color w:val="auto"/>
          <w:sz w:val="28"/>
          <w:szCs w:val="28"/>
        </w:rPr>
        <w:t>Oceania: Australia and New Zealand</w:t>
      </w:r>
    </w:p>
    <w:p w14:paraId="4AE75C37" w14:textId="77777777" w:rsidR="007274F1" w:rsidRPr="002F5252" w:rsidRDefault="007274F1" w:rsidP="007274F1">
      <w:pPr>
        <w:pStyle w:val="NormalWeb"/>
        <w:rPr>
          <w:sz w:val="28"/>
          <w:szCs w:val="28"/>
        </w:rPr>
      </w:pPr>
      <w:r w:rsidRPr="002F5252">
        <w:rPr>
          <w:rStyle w:val="Strong"/>
          <w:rFonts w:eastAsiaTheme="majorEastAsia"/>
          <w:sz w:val="28"/>
          <w:szCs w:val="28"/>
        </w:rPr>
        <w:t>Australia</w:t>
      </w:r>
      <w:r w:rsidRPr="002F5252">
        <w:rPr>
          <w:sz w:val="28"/>
          <w:szCs w:val="28"/>
        </w:rPr>
        <w:br/>
        <w:t xml:space="preserve">Australia’s plastics recycling rate was </w:t>
      </w:r>
      <w:r w:rsidRPr="002F5252">
        <w:rPr>
          <w:rStyle w:val="Strong"/>
          <w:rFonts w:eastAsiaTheme="majorEastAsia"/>
          <w:sz w:val="28"/>
          <w:szCs w:val="28"/>
        </w:rPr>
        <w:t>13.9 percent</w:t>
      </w:r>
      <w:r w:rsidRPr="002F5252">
        <w:rPr>
          <w:sz w:val="28"/>
          <w:szCs w:val="28"/>
        </w:rPr>
        <w:t xml:space="preserve"> in 2022—far below its 70 percent target (Australian Government report </w:t>
      </w:r>
      <w:hyperlink r:id="rId17" w:history="1">
        <w:r w:rsidRPr="002F5252">
          <w:rPr>
            <w:rStyle w:val="Hyperlink"/>
            <w:rFonts w:eastAsiaTheme="majorEastAsia"/>
            <w:color w:val="auto"/>
            <w:sz w:val="28"/>
            <w:szCs w:val="28"/>
          </w:rPr>
          <w:t>https://www.dcceew.gov.au/environment/protection/waste/plastics-report</w:t>
        </w:r>
      </w:hyperlink>
      <w:r w:rsidRPr="002F5252">
        <w:rPr>
          <w:sz w:val="28"/>
          <w:szCs w:val="28"/>
        </w:rPr>
        <w:t>). Of 2.85 million tonnes generated, only ~412 000 tonnes were recovered, and ~396 000 tonnes actually reprocessed. The collapse of voluntary soft-plastics programs highlighted the need for mandated recycled content and EPR schemes.</w:t>
      </w:r>
    </w:p>
    <w:p w14:paraId="28C97FED" w14:textId="6413C644" w:rsidR="007274F1" w:rsidRPr="002F5252" w:rsidRDefault="007274F1" w:rsidP="007274F1">
      <w:pPr>
        <w:pStyle w:val="NormalWeb"/>
        <w:rPr>
          <w:sz w:val="28"/>
          <w:szCs w:val="28"/>
        </w:rPr>
      </w:pPr>
      <w:r w:rsidRPr="002F5252">
        <w:rPr>
          <w:rStyle w:val="Strong"/>
          <w:rFonts w:eastAsiaTheme="majorEastAsia"/>
          <w:sz w:val="28"/>
          <w:szCs w:val="28"/>
        </w:rPr>
        <w:t>New Zealand</w:t>
      </w:r>
      <w:r w:rsidRPr="002F5252">
        <w:rPr>
          <w:sz w:val="28"/>
          <w:szCs w:val="28"/>
        </w:rPr>
        <w:br/>
        <w:t xml:space="preserve">New Zealand recycles roughly </w:t>
      </w:r>
      <w:r w:rsidRPr="002F5252">
        <w:rPr>
          <w:rStyle w:val="Strong"/>
          <w:rFonts w:eastAsiaTheme="majorEastAsia"/>
          <w:sz w:val="28"/>
          <w:szCs w:val="28"/>
        </w:rPr>
        <w:t>13 percent of its plastic waste</w:t>
      </w:r>
      <w:r w:rsidRPr="002F5252">
        <w:rPr>
          <w:sz w:val="28"/>
          <w:szCs w:val="28"/>
        </w:rPr>
        <w:t>, relying on export markets until 2021. National bag bans and the Waste Minimisation Fund are improving infrastructure, but economies of scale remain a challenge. Community reuse initiatives—championed by groups like Break Free From Plastic (</w:t>
      </w:r>
      <w:hyperlink r:id="rId18" w:history="1">
        <w:r w:rsidRPr="002F5252">
          <w:rPr>
            <w:rStyle w:val="Hyperlink"/>
            <w:rFonts w:eastAsiaTheme="majorEastAsia"/>
            <w:sz w:val="28"/>
            <w:szCs w:val="28"/>
          </w:rPr>
          <w:t>https://www.breakfreefromplastic.org</w:t>
        </w:r>
      </w:hyperlink>
      <w:r w:rsidRPr="002F5252">
        <w:rPr>
          <w:rFonts w:eastAsiaTheme="majorEastAsia"/>
          <w:sz w:val="28"/>
          <w:szCs w:val="28"/>
        </w:rPr>
        <w:t>)—are</w:t>
      </w:r>
      <w:r w:rsidRPr="002F5252">
        <w:rPr>
          <w:sz w:val="28"/>
          <w:szCs w:val="28"/>
        </w:rPr>
        <w:t xml:space="preserve"> gaining traction.</w:t>
      </w:r>
    </w:p>
    <w:p w14:paraId="553D67AF" w14:textId="77777777" w:rsidR="007274F1" w:rsidRPr="002F5252" w:rsidRDefault="00123779" w:rsidP="007274F1">
      <w:pPr>
        <w:rPr>
          <w:sz w:val="28"/>
          <w:szCs w:val="28"/>
        </w:rPr>
      </w:pPr>
      <w:r>
        <w:rPr>
          <w:noProof/>
        </w:rPr>
      </w:r>
      <w:r>
        <w:pict w14:anchorId="25CC360D">
          <v:rect id="Horizontal Line 5" o:spid="_x0000_s1028"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NPhb/XbAAAABwEAAA8AAAAAAAAAAAAAAAAAugQAAGRycy9kb3du&#13;&#10;cmV2LnhtbFBLBQYAAAAABAAEAPMAAADCBQAAAAA=&#13;&#10;" filled="f">
            <o:lock v:ext="edit" rotation="t" aspectratio="t" verticies="t" text="t" shapetype="t"/>
            <w10:anchorlock/>
          </v:rect>
        </w:pict>
      </w:r>
    </w:p>
    <w:p w14:paraId="2FBF9472" w14:textId="77777777" w:rsidR="007274F1" w:rsidRPr="002F5252" w:rsidRDefault="007274F1" w:rsidP="007274F1">
      <w:pPr>
        <w:pStyle w:val="Heading2"/>
        <w:rPr>
          <w:rFonts w:ascii="Times New Roman" w:hAnsi="Times New Roman" w:cs="Times New Roman"/>
          <w:color w:val="auto"/>
          <w:sz w:val="28"/>
          <w:szCs w:val="28"/>
        </w:rPr>
      </w:pPr>
      <w:r w:rsidRPr="002F5252">
        <w:rPr>
          <w:rFonts w:ascii="Times New Roman" w:hAnsi="Times New Roman" w:cs="Times New Roman"/>
          <w:color w:val="auto"/>
          <w:sz w:val="28"/>
          <w:szCs w:val="28"/>
        </w:rPr>
        <w:t>Africa: South Africa’s Leadership and Continental Challenges</w:t>
      </w:r>
    </w:p>
    <w:p w14:paraId="63AE9428" w14:textId="77777777" w:rsidR="007274F1" w:rsidRPr="002F5252" w:rsidRDefault="007274F1" w:rsidP="007274F1">
      <w:pPr>
        <w:pStyle w:val="NormalWeb"/>
        <w:rPr>
          <w:sz w:val="28"/>
          <w:szCs w:val="28"/>
        </w:rPr>
      </w:pPr>
      <w:r w:rsidRPr="002F5252">
        <w:rPr>
          <w:rStyle w:val="Strong"/>
          <w:rFonts w:eastAsiaTheme="majorEastAsia"/>
          <w:sz w:val="28"/>
          <w:szCs w:val="28"/>
        </w:rPr>
        <w:t>South Africa</w:t>
      </w:r>
      <w:r w:rsidRPr="002F5252">
        <w:rPr>
          <w:sz w:val="28"/>
          <w:szCs w:val="28"/>
        </w:rPr>
        <w:br/>
        <w:t xml:space="preserve">South Africa recycles </w:t>
      </w:r>
      <w:r w:rsidRPr="002F5252">
        <w:rPr>
          <w:rStyle w:val="Strong"/>
          <w:rFonts w:eastAsiaTheme="majorEastAsia"/>
          <w:sz w:val="28"/>
          <w:szCs w:val="28"/>
        </w:rPr>
        <w:t>21–22 percent</w:t>
      </w:r>
      <w:r w:rsidRPr="002F5252">
        <w:rPr>
          <w:sz w:val="28"/>
          <w:szCs w:val="28"/>
        </w:rPr>
        <w:t xml:space="preserve"> of its plastic consumption, among the highest on the continent. The formal sector, led by Plastics SA (</w:t>
      </w:r>
      <w:hyperlink r:id="rId19" w:history="1">
        <w:r w:rsidRPr="002F5252">
          <w:rPr>
            <w:rStyle w:val="Hyperlink"/>
            <w:rFonts w:eastAsiaTheme="majorEastAsia"/>
            <w:color w:val="auto"/>
            <w:sz w:val="28"/>
            <w:szCs w:val="28"/>
          </w:rPr>
          <w:t>https://www.plasticsinfo.co.za</w:t>
        </w:r>
      </w:hyperlink>
      <w:r w:rsidRPr="002F5252">
        <w:rPr>
          <w:sz w:val="28"/>
          <w:szCs w:val="28"/>
        </w:rPr>
        <w:t xml:space="preserve">), works alongside an extensive informal network of waste pickers, supported by EPR regulations. Despite this, </w:t>
      </w:r>
      <w:r w:rsidRPr="002F5252">
        <w:rPr>
          <w:rStyle w:val="Strong"/>
          <w:rFonts w:eastAsiaTheme="majorEastAsia"/>
          <w:sz w:val="28"/>
          <w:szCs w:val="28"/>
        </w:rPr>
        <w:t>80 percent of plastic</w:t>
      </w:r>
      <w:r w:rsidRPr="002F5252">
        <w:rPr>
          <w:sz w:val="28"/>
          <w:szCs w:val="28"/>
        </w:rPr>
        <w:t xml:space="preserve"> still goes to landfills.</w:t>
      </w:r>
    </w:p>
    <w:p w14:paraId="3B76ABF5" w14:textId="77777777" w:rsidR="007274F1" w:rsidRPr="002F5252" w:rsidRDefault="007274F1" w:rsidP="007274F1">
      <w:pPr>
        <w:pStyle w:val="NormalWeb"/>
        <w:rPr>
          <w:sz w:val="28"/>
          <w:szCs w:val="28"/>
        </w:rPr>
      </w:pPr>
      <w:r w:rsidRPr="002F5252">
        <w:rPr>
          <w:rStyle w:val="Strong"/>
          <w:rFonts w:eastAsiaTheme="majorEastAsia"/>
          <w:sz w:val="28"/>
          <w:szCs w:val="28"/>
        </w:rPr>
        <w:lastRenderedPageBreak/>
        <w:t>Rest of Africa</w:t>
      </w:r>
      <w:r w:rsidRPr="002F5252">
        <w:rPr>
          <w:sz w:val="28"/>
          <w:szCs w:val="28"/>
        </w:rPr>
        <w:br/>
        <w:t xml:space="preserve">Most sub-Saharan countries recycle below </w:t>
      </w:r>
      <w:r w:rsidRPr="002F5252">
        <w:rPr>
          <w:rStyle w:val="Strong"/>
          <w:rFonts w:eastAsiaTheme="majorEastAsia"/>
          <w:sz w:val="28"/>
          <w:szCs w:val="28"/>
        </w:rPr>
        <w:t>4 percent</w:t>
      </w:r>
      <w:r w:rsidRPr="002F5252">
        <w:rPr>
          <w:sz w:val="28"/>
          <w:szCs w:val="28"/>
        </w:rPr>
        <w:t xml:space="preserve"> of total waste. Over 30 nations have banned plastic bags, reducing thin-film pollution, and grassroots reuse traditions persist. The World Economic Forum (</w:t>
      </w:r>
      <w:hyperlink r:id="rId20" w:history="1">
        <w:r w:rsidRPr="002F5252">
          <w:rPr>
            <w:rStyle w:val="Hyperlink"/>
            <w:rFonts w:eastAsiaTheme="majorEastAsia"/>
            <w:color w:val="auto"/>
            <w:sz w:val="28"/>
            <w:szCs w:val="28"/>
          </w:rPr>
          <w:t>https://www.weforum.org</w:t>
        </w:r>
      </w:hyperlink>
      <w:r w:rsidRPr="002F5252">
        <w:rPr>
          <w:sz w:val="28"/>
          <w:szCs w:val="28"/>
        </w:rPr>
        <w:t>) highlights how linking waste management improvements to economic development could unlock Africa’s recycling potential.</w:t>
      </w:r>
    </w:p>
    <w:p w14:paraId="52AF9F48" w14:textId="77777777" w:rsidR="007274F1" w:rsidRPr="002F5252" w:rsidRDefault="00123779" w:rsidP="007274F1">
      <w:pPr>
        <w:rPr>
          <w:sz w:val="28"/>
          <w:szCs w:val="28"/>
        </w:rPr>
      </w:pPr>
      <w:r>
        <w:rPr>
          <w:noProof/>
        </w:rPr>
      </w:r>
      <w:r>
        <w:pict w14:anchorId="23D7CBAE">
          <v:rect id="Horizontal Line 6" o:spid="_x0000_s1027"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NPhb/XbAAAABwEAAA8AAAAAAAAAAAAAAAAAugQAAGRycy9kb3du&#13;&#10;cmV2LnhtbFBLBQYAAAAABAAEAPMAAADCBQAAAAA=&#13;&#10;" filled="f">
            <o:lock v:ext="edit" rotation="t" aspectratio="t" verticies="t" text="t" shapetype="t"/>
            <w10:anchorlock/>
          </v:rect>
        </w:pict>
      </w:r>
    </w:p>
    <w:p w14:paraId="367E7FB9" w14:textId="77777777" w:rsidR="007274F1" w:rsidRPr="002F5252" w:rsidRDefault="007274F1" w:rsidP="007274F1">
      <w:pPr>
        <w:pStyle w:val="Heading2"/>
        <w:rPr>
          <w:rFonts w:ascii="Times New Roman" w:hAnsi="Times New Roman" w:cs="Times New Roman"/>
          <w:color w:val="auto"/>
          <w:sz w:val="28"/>
          <w:szCs w:val="28"/>
        </w:rPr>
      </w:pPr>
      <w:r w:rsidRPr="002F5252">
        <w:rPr>
          <w:rFonts w:ascii="Times New Roman" w:hAnsi="Times New Roman" w:cs="Times New Roman"/>
          <w:color w:val="auto"/>
          <w:sz w:val="28"/>
          <w:szCs w:val="28"/>
        </w:rPr>
        <w:t>South America: Brazil’s Surge and Regional Outlook</w:t>
      </w:r>
    </w:p>
    <w:p w14:paraId="2DF6ABA2" w14:textId="77777777" w:rsidR="007274F1" w:rsidRPr="002F5252" w:rsidRDefault="007274F1" w:rsidP="007274F1">
      <w:pPr>
        <w:pStyle w:val="NormalWeb"/>
        <w:rPr>
          <w:sz w:val="28"/>
          <w:szCs w:val="28"/>
        </w:rPr>
      </w:pPr>
      <w:r w:rsidRPr="002F5252">
        <w:rPr>
          <w:rStyle w:val="Strong"/>
          <w:rFonts w:eastAsiaTheme="majorEastAsia"/>
          <w:sz w:val="28"/>
          <w:szCs w:val="28"/>
        </w:rPr>
        <w:t>Brazil</w:t>
      </w:r>
      <w:r w:rsidRPr="002F5252">
        <w:rPr>
          <w:sz w:val="28"/>
          <w:szCs w:val="28"/>
        </w:rPr>
        <w:br/>
        <w:t xml:space="preserve">Brazil’s post-consumer plastic recycling rate soared to </w:t>
      </w:r>
      <w:r w:rsidRPr="002F5252">
        <w:rPr>
          <w:rStyle w:val="Strong"/>
          <w:rFonts w:eastAsiaTheme="majorEastAsia"/>
          <w:sz w:val="28"/>
          <w:szCs w:val="28"/>
        </w:rPr>
        <w:t>25.6 percent</w:t>
      </w:r>
      <w:r w:rsidRPr="002F5252">
        <w:rPr>
          <w:sz w:val="28"/>
          <w:szCs w:val="28"/>
        </w:rPr>
        <w:t xml:space="preserve"> in 2022, up 46 percent since 2018 (</w:t>
      </w:r>
      <w:proofErr w:type="spellStart"/>
      <w:r w:rsidRPr="002F5252">
        <w:rPr>
          <w:sz w:val="28"/>
          <w:szCs w:val="28"/>
        </w:rPr>
        <w:t>Abiplast</w:t>
      </w:r>
      <w:proofErr w:type="spellEnd"/>
      <w:r w:rsidRPr="002F5252">
        <w:rPr>
          <w:sz w:val="28"/>
          <w:szCs w:val="28"/>
        </w:rPr>
        <w:t xml:space="preserve"> </w:t>
      </w:r>
      <w:hyperlink r:id="rId21" w:history="1">
        <w:r w:rsidRPr="002F5252">
          <w:rPr>
            <w:rStyle w:val="Hyperlink"/>
            <w:rFonts w:eastAsiaTheme="majorEastAsia"/>
            <w:color w:val="auto"/>
            <w:sz w:val="28"/>
            <w:szCs w:val="28"/>
          </w:rPr>
          <w:t>https://abiplast.org.br</w:t>
        </w:r>
      </w:hyperlink>
      <w:r w:rsidRPr="002F5252">
        <w:rPr>
          <w:sz w:val="28"/>
          <w:szCs w:val="28"/>
        </w:rPr>
        <w:t xml:space="preserve">; S&amp;P Global </w:t>
      </w:r>
      <w:hyperlink r:id="rId22" w:history="1">
        <w:r w:rsidRPr="002F5252">
          <w:rPr>
            <w:rStyle w:val="Hyperlink"/>
            <w:rFonts w:eastAsiaTheme="majorEastAsia"/>
            <w:color w:val="auto"/>
            <w:sz w:val="28"/>
            <w:szCs w:val="28"/>
          </w:rPr>
          <w:t>https://www.spglobal.com</w:t>
        </w:r>
      </w:hyperlink>
      <w:r w:rsidRPr="002F5252">
        <w:rPr>
          <w:sz w:val="28"/>
          <w:szCs w:val="28"/>
        </w:rPr>
        <w:t xml:space="preserve">). The National Solid Waste Policy formalized waste-picker cooperatives, driving collection and processing. PET bottle recycling approaches </w:t>
      </w:r>
      <w:r w:rsidRPr="002F5252">
        <w:rPr>
          <w:rStyle w:val="Strong"/>
          <w:rFonts w:eastAsiaTheme="majorEastAsia"/>
          <w:sz w:val="28"/>
          <w:szCs w:val="28"/>
        </w:rPr>
        <w:t>55 percent</w:t>
      </w:r>
      <w:r w:rsidRPr="002F5252">
        <w:rPr>
          <w:sz w:val="28"/>
          <w:szCs w:val="28"/>
        </w:rPr>
        <w:t>, feeding domestic polyester production.</w:t>
      </w:r>
    </w:p>
    <w:p w14:paraId="6B232E01" w14:textId="77777777" w:rsidR="007274F1" w:rsidRPr="002F5252" w:rsidRDefault="007274F1" w:rsidP="007274F1">
      <w:pPr>
        <w:pStyle w:val="NormalWeb"/>
        <w:rPr>
          <w:sz w:val="28"/>
          <w:szCs w:val="28"/>
        </w:rPr>
      </w:pPr>
      <w:r w:rsidRPr="002F5252">
        <w:rPr>
          <w:rStyle w:val="Strong"/>
          <w:rFonts w:eastAsiaTheme="majorEastAsia"/>
          <w:sz w:val="28"/>
          <w:szCs w:val="28"/>
        </w:rPr>
        <w:t>Rest of South America</w:t>
      </w:r>
      <w:r w:rsidRPr="002F5252">
        <w:rPr>
          <w:sz w:val="28"/>
          <w:szCs w:val="28"/>
        </w:rPr>
        <w:br/>
        <w:t xml:space="preserve">Argentina, Chile, and Colombia recycle </w:t>
      </w:r>
      <w:r w:rsidRPr="002F5252">
        <w:rPr>
          <w:rStyle w:val="Strong"/>
          <w:rFonts w:eastAsiaTheme="majorEastAsia"/>
          <w:sz w:val="28"/>
          <w:szCs w:val="28"/>
        </w:rPr>
        <w:t>8–17 percent</w:t>
      </w:r>
      <w:r w:rsidRPr="002F5252">
        <w:rPr>
          <w:sz w:val="28"/>
          <w:szCs w:val="28"/>
        </w:rPr>
        <w:t xml:space="preserve"> of plastics, largely via informal collectors. Bag bans and emerging EPR pilots are advancing, and National Geographic (</w:t>
      </w:r>
      <w:hyperlink r:id="rId23" w:history="1">
        <w:r w:rsidRPr="002F5252">
          <w:rPr>
            <w:rStyle w:val="Hyperlink"/>
            <w:rFonts w:eastAsiaTheme="majorEastAsia"/>
            <w:color w:val="auto"/>
            <w:sz w:val="28"/>
            <w:szCs w:val="28"/>
          </w:rPr>
          <w:t>https://www.nationalgeographic.com/environment/article/plastic-pollution</w:t>
        </w:r>
      </w:hyperlink>
      <w:r w:rsidRPr="002F5252">
        <w:rPr>
          <w:sz w:val="28"/>
          <w:szCs w:val="28"/>
        </w:rPr>
        <w:t>) spotlighting riverine plastic has spurred policy action across the continent.</w:t>
      </w:r>
    </w:p>
    <w:p w14:paraId="3FA8D97E" w14:textId="77777777" w:rsidR="007274F1" w:rsidRPr="002F5252" w:rsidRDefault="00123779" w:rsidP="007274F1">
      <w:pPr>
        <w:rPr>
          <w:sz w:val="28"/>
          <w:szCs w:val="28"/>
        </w:rPr>
      </w:pPr>
      <w:r>
        <w:rPr>
          <w:noProof/>
        </w:rPr>
      </w:r>
      <w:r>
        <w:pict w14:anchorId="5419DD9C">
          <v:rect id="Horizontal Line 7"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NPhb/XbAAAABwEAAA8AAAAAAAAAAAAAAAAAugQAAGRycy9kb3du&#13;&#10;cmV2LnhtbFBLBQYAAAAABAAEAPMAAADCBQAAAAA=&#13;&#10;" filled="f">
            <o:lock v:ext="edit" rotation="t" aspectratio="t" verticies="t" text="t" shapetype="t"/>
            <w10:anchorlock/>
          </v:rect>
        </w:pict>
      </w:r>
    </w:p>
    <w:p w14:paraId="4BAC9DA6" w14:textId="77777777" w:rsidR="007274F1" w:rsidRPr="002F5252" w:rsidRDefault="007274F1" w:rsidP="007274F1">
      <w:pPr>
        <w:pStyle w:val="Heading2"/>
        <w:rPr>
          <w:rFonts w:ascii="Times New Roman" w:hAnsi="Times New Roman" w:cs="Times New Roman"/>
          <w:color w:val="auto"/>
          <w:sz w:val="28"/>
          <w:szCs w:val="28"/>
        </w:rPr>
      </w:pPr>
      <w:r w:rsidRPr="002F5252">
        <w:rPr>
          <w:rFonts w:ascii="Times New Roman" w:hAnsi="Times New Roman" w:cs="Times New Roman"/>
          <w:color w:val="auto"/>
          <w:sz w:val="28"/>
          <w:szCs w:val="28"/>
        </w:rPr>
        <w:t>Future Outlook and Forecasts</w:t>
      </w:r>
    </w:p>
    <w:p w14:paraId="3828D235" w14:textId="77777777" w:rsidR="007274F1" w:rsidRPr="002F5252" w:rsidRDefault="007274F1" w:rsidP="007274F1">
      <w:pPr>
        <w:pStyle w:val="NormalWeb"/>
        <w:numPr>
          <w:ilvl w:val="0"/>
          <w:numId w:val="8"/>
        </w:numPr>
        <w:rPr>
          <w:sz w:val="28"/>
          <w:szCs w:val="28"/>
        </w:rPr>
      </w:pPr>
      <w:r w:rsidRPr="002F5252">
        <w:rPr>
          <w:rStyle w:val="Strong"/>
          <w:rFonts w:eastAsiaTheme="majorEastAsia"/>
          <w:sz w:val="28"/>
          <w:szCs w:val="28"/>
        </w:rPr>
        <w:t>Production vs. Capacity:</w:t>
      </w:r>
      <w:r w:rsidRPr="002F5252">
        <w:rPr>
          <w:sz w:val="28"/>
          <w:szCs w:val="28"/>
        </w:rPr>
        <w:t xml:space="preserve"> Without intervention, plastic production—currently ~400 million tonnes annually—could </w:t>
      </w:r>
      <w:r w:rsidRPr="002F5252">
        <w:rPr>
          <w:rStyle w:val="Strong"/>
          <w:rFonts w:eastAsiaTheme="majorEastAsia"/>
          <w:sz w:val="28"/>
          <w:szCs w:val="28"/>
        </w:rPr>
        <w:t>double by 2040</w:t>
      </w:r>
      <w:r w:rsidRPr="002F5252">
        <w:rPr>
          <w:sz w:val="28"/>
          <w:szCs w:val="28"/>
        </w:rPr>
        <w:t xml:space="preserve">, while recycling hovers near </w:t>
      </w:r>
      <w:r w:rsidRPr="002F5252">
        <w:rPr>
          <w:rStyle w:val="Strong"/>
          <w:rFonts w:eastAsiaTheme="majorEastAsia"/>
          <w:sz w:val="28"/>
          <w:szCs w:val="28"/>
        </w:rPr>
        <w:t>10 percent</w:t>
      </w:r>
      <w:r w:rsidRPr="002F5252">
        <w:rPr>
          <w:sz w:val="28"/>
          <w:szCs w:val="28"/>
        </w:rPr>
        <w:t>, risking an annual 300 million tonnes of unrecycled waste by 2030.</w:t>
      </w:r>
    </w:p>
    <w:p w14:paraId="1114FA1F" w14:textId="77777777" w:rsidR="007274F1" w:rsidRPr="002F5252" w:rsidRDefault="007274F1" w:rsidP="007274F1">
      <w:pPr>
        <w:pStyle w:val="NormalWeb"/>
        <w:numPr>
          <w:ilvl w:val="0"/>
          <w:numId w:val="8"/>
        </w:numPr>
        <w:rPr>
          <w:sz w:val="28"/>
          <w:szCs w:val="28"/>
        </w:rPr>
      </w:pPr>
      <w:r w:rsidRPr="002F5252">
        <w:rPr>
          <w:rStyle w:val="Strong"/>
          <w:rFonts w:eastAsiaTheme="majorEastAsia"/>
          <w:sz w:val="28"/>
          <w:szCs w:val="28"/>
        </w:rPr>
        <w:t>Technological Advances:</w:t>
      </w:r>
      <w:r w:rsidRPr="002F5252">
        <w:rPr>
          <w:sz w:val="28"/>
          <w:szCs w:val="28"/>
        </w:rPr>
        <w:t xml:space="preserve"> Chemical recycling and AI-driven sorting offer paths to recover mixed plastics, though energy demands and economics pose challenges.</w:t>
      </w:r>
    </w:p>
    <w:p w14:paraId="6CCC39F2" w14:textId="77777777" w:rsidR="007274F1" w:rsidRPr="002F5252" w:rsidRDefault="007274F1" w:rsidP="007274F1">
      <w:pPr>
        <w:pStyle w:val="NormalWeb"/>
        <w:numPr>
          <w:ilvl w:val="0"/>
          <w:numId w:val="8"/>
        </w:numPr>
        <w:rPr>
          <w:sz w:val="28"/>
          <w:szCs w:val="28"/>
        </w:rPr>
      </w:pPr>
      <w:r w:rsidRPr="002F5252">
        <w:rPr>
          <w:rStyle w:val="Strong"/>
          <w:rFonts w:eastAsiaTheme="majorEastAsia"/>
          <w:sz w:val="28"/>
          <w:szCs w:val="28"/>
        </w:rPr>
        <w:t>Market Demand:</w:t>
      </w:r>
      <w:r w:rsidRPr="002F5252">
        <w:rPr>
          <w:sz w:val="28"/>
          <w:szCs w:val="28"/>
        </w:rPr>
        <w:t xml:space="preserve"> Mandates like the EU’s 25 percent recycled-content rule for bottles by 2025 are creating stable outlets for </w:t>
      </w:r>
      <w:proofErr w:type="spellStart"/>
      <w:r w:rsidRPr="002F5252">
        <w:rPr>
          <w:sz w:val="28"/>
          <w:szCs w:val="28"/>
        </w:rPr>
        <w:t>recyclate</w:t>
      </w:r>
      <w:proofErr w:type="spellEnd"/>
      <w:r w:rsidRPr="002F5252">
        <w:rPr>
          <w:sz w:val="28"/>
          <w:szCs w:val="28"/>
        </w:rPr>
        <w:t>.</w:t>
      </w:r>
    </w:p>
    <w:p w14:paraId="71D7EC13" w14:textId="77777777" w:rsidR="007274F1" w:rsidRPr="002F5252" w:rsidRDefault="007274F1" w:rsidP="007274F1">
      <w:pPr>
        <w:pStyle w:val="NormalWeb"/>
        <w:numPr>
          <w:ilvl w:val="0"/>
          <w:numId w:val="8"/>
        </w:numPr>
        <w:rPr>
          <w:sz w:val="28"/>
          <w:szCs w:val="28"/>
        </w:rPr>
      </w:pPr>
      <w:r w:rsidRPr="002F5252">
        <w:rPr>
          <w:rStyle w:val="Strong"/>
          <w:rFonts w:eastAsiaTheme="majorEastAsia"/>
          <w:sz w:val="28"/>
          <w:szCs w:val="28"/>
        </w:rPr>
        <w:t>Global Plastics Treaty:</w:t>
      </w:r>
      <w:r w:rsidRPr="002F5252">
        <w:rPr>
          <w:sz w:val="28"/>
          <w:szCs w:val="28"/>
        </w:rPr>
        <w:t xml:space="preserve"> The U.N. Environment Assembly (</w:t>
      </w:r>
      <w:hyperlink r:id="rId24" w:history="1">
        <w:r w:rsidRPr="002F5252">
          <w:rPr>
            <w:rStyle w:val="Hyperlink"/>
            <w:rFonts w:eastAsiaTheme="majorEastAsia"/>
            <w:color w:val="auto"/>
            <w:sz w:val="28"/>
            <w:szCs w:val="28"/>
          </w:rPr>
          <w:t>https://www.unep.org/unea</w:t>
        </w:r>
      </w:hyperlink>
      <w:r w:rsidRPr="002F5252">
        <w:rPr>
          <w:sz w:val="28"/>
          <w:szCs w:val="28"/>
        </w:rPr>
        <w:t>) is negotiating a binding plastics treaty, with the ambition to set global recycling targets and mobilize infrastructure funding.</w:t>
      </w:r>
    </w:p>
    <w:p w14:paraId="03889C27" w14:textId="77777777" w:rsidR="007274F1" w:rsidRPr="002F5252" w:rsidRDefault="007274F1" w:rsidP="007274F1">
      <w:pPr>
        <w:pStyle w:val="NormalWeb"/>
        <w:numPr>
          <w:ilvl w:val="0"/>
          <w:numId w:val="8"/>
        </w:numPr>
        <w:rPr>
          <w:sz w:val="28"/>
          <w:szCs w:val="28"/>
        </w:rPr>
      </w:pPr>
      <w:r w:rsidRPr="002F5252">
        <w:rPr>
          <w:rStyle w:val="Strong"/>
          <w:rFonts w:eastAsiaTheme="majorEastAsia"/>
          <w:sz w:val="28"/>
          <w:szCs w:val="28"/>
        </w:rPr>
        <w:t>Beyond Recycling:</w:t>
      </w:r>
      <w:r w:rsidRPr="002F5252">
        <w:rPr>
          <w:sz w:val="28"/>
          <w:szCs w:val="28"/>
        </w:rPr>
        <w:t xml:space="preserve"> Source reduction and reuse models—refillable packaging, deposit-return schemes—are essential complements.</w:t>
      </w:r>
    </w:p>
    <w:p w14:paraId="2ADB3266" w14:textId="77777777" w:rsidR="007274F1" w:rsidRPr="002F5252" w:rsidRDefault="007274F1" w:rsidP="007274F1">
      <w:pPr>
        <w:pStyle w:val="NormalWeb"/>
        <w:numPr>
          <w:ilvl w:val="0"/>
          <w:numId w:val="8"/>
        </w:numPr>
        <w:rPr>
          <w:sz w:val="28"/>
          <w:szCs w:val="28"/>
        </w:rPr>
      </w:pPr>
      <w:r w:rsidRPr="002F5252">
        <w:rPr>
          <w:rStyle w:val="Strong"/>
          <w:rFonts w:eastAsiaTheme="majorEastAsia"/>
          <w:sz w:val="28"/>
          <w:szCs w:val="28"/>
        </w:rPr>
        <w:lastRenderedPageBreak/>
        <w:t>Community Engagement:</w:t>
      </w:r>
      <w:r w:rsidRPr="002F5252">
        <w:rPr>
          <w:sz w:val="28"/>
          <w:szCs w:val="28"/>
        </w:rPr>
        <w:t xml:space="preserve"> Education campaigns and grassroots networks such as the Plastic Pollution Coalition (</w:t>
      </w:r>
      <w:hyperlink r:id="rId25" w:history="1">
        <w:r w:rsidRPr="002F5252">
          <w:rPr>
            <w:rStyle w:val="Hyperlink"/>
            <w:rFonts w:eastAsiaTheme="majorEastAsia"/>
            <w:color w:val="auto"/>
            <w:sz w:val="28"/>
            <w:szCs w:val="28"/>
          </w:rPr>
          <w:t>https://www.plasticpollutioncoalition.org</w:t>
        </w:r>
      </w:hyperlink>
      <w:r w:rsidRPr="002F5252">
        <w:rPr>
          <w:sz w:val="28"/>
          <w:szCs w:val="28"/>
        </w:rPr>
        <w:t>) are vital for improving sorting quality and public accountability.</w:t>
      </w:r>
    </w:p>
    <w:p w14:paraId="36294FAB" w14:textId="77777777" w:rsidR="007274F1" w:rsidRPr="002F5252" w:rsidRDefault="007274F1" w:rsidP="007274F1">
      <w:pPr>
        <w:pStyle w:val="NormalWeb"/>
        <w:rPr>
          <w:sz w:val="28"/>
          <w:szCs w:val="28"/>
        </w:rPr>
      </w:pPr>
      <w:r w:rsidRPr="002F5252">
        <w:rPr>
          <w:sz w:val="28"/>
          <w:szCs w:val="28"/>
        </w:rPr>
        <w:t xml:space="preserve">The Pew Charitable Trusts’ </w:t>
      </w:r>
      <w:r w:rsidRPr="002F5252">
        <w:rPr>
          <w:rStyle w:val="Emphasis"/>
          <w:rFonts w:eastAsiaTheme="majorEastAsia"/>
          <w:sz w:val="28"/>
          <w:szCs w:val="28"/>
        </w:rPr>
        <w:t>Breaking the Plastic Wave</w:t>
      </w:r>
      <w:r w:rsidRPr="002F5252">
        <w:rPr>
          <w:sz w:val="28"/>
          <w:szCs w:val="28"/>
        </w:rPr>
        <w:t xml:space="preserve"> analysis (</w:t>
      </w:r>
      <w:hyperlink r:id="rId26" w:history="1">
        <w:r w:rsidRPr="002F5252">
          <w:rPr>
            <w:rStyle w:val="Hyperlink"/>
            <w:rFonts w:eastAsiaTheme="majorEastAsia"/>
            <w:color w:val="auto"/>
            <w:sz w:val="28"/>
            <w:szCs w:val="28"/>
          </w:rPr>
          <w:t>https://www.pewtrusts.org/en/projects/plastics</w:t>
        </w:r>
      </w:hyperlink>
      <w:r w:rsidRPr="002F5252">
        <w:rPr>
          <w:sz w:val="28"/>
          <w:szCs w:val="28"/>
        </w:rPr>
        <w:t>) outlines an optimistic scenario: combining reduction, design improvements, and robust recycling could cut 80 percent of plastic pollution by 2040. However, doing so demands unprecedented global cooperation, technological innovation, and a shift toward a true circular economy.</w:t>
      </w:r>
    </w:p>
    <w:p w14:paraId="6F66A172" w14:textId="5D52E6E4" w:rsidR="006D4B0B" w:rsidRPr="002F5252" w:rsidRDefault="006D4B0B" w:rsidP="007274F1">
      <w:pPr>
        <w:pStyle w:val="NormalWeb"/>
        <w:rPr>
          <w:sz w:val="28"/>
          <w:szCs w:val="28"/>
        </w:rPr>
      </w:pPr>
      <w:r w:rsidRPr="002F5252">
        <w:rPr>
          <w:sz w:val="28"/>
          <w:szCs w:val="28"/>
        </w:rPr>
        <w:fldChar w:fldCharType="begin"/>
      </w:r>
      <w:r w:rsidRPr="002F5252">
        <w:rPr>
          <w:sz w:val="28"/>
          <w:szCs w:val="28"/>
        </w:rPr>
        <w:instrText xml:space="preserve"> INCLUDEPICTURE "https://www.sfpublicpress.org/wp-content/uploads/2021/06/recology1-1-1170x738.jpg" \* MERGEFORMATINET </w:instrText>
      </w:r>
      <w:r w:rsidRPr="002F5252">
        <w:rPr>
          <w:sz w:val="28"/>
          <w:szCs w:val="28"/>
        </w:rPr>
        <w:fldChar w:fldCharType="separate"/>
      </w:r>
      <w:r w:rsidRPr="002F5252">
        <w:rPr>
          <w:noProof/>
          <w:sz w:val="28"/>
          <w:szCs w:val="28"/>
        </w:rPr>
        <w:drawing>
          <wp:inline distT="0" distB="0" distL="0" distR="0" wp14:anchorId="48E1779D" wp14:editId="04BCE2BC">
            <wp:extent cx="5731510" cy="3615690"/>
            <wp:effectExtent l="0" t="0" r="0" b="3810"/>
            <wp:docPr id="1950618088" name="Picture 2" descr="Reduce First, Then Recycle: Sorting Out SF’s W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uce First, Then Recycle: Sorting Out SF’s Wast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3615690"/>
                    </a:xfrm>
                    <a:prstGeom prst="rect">
                      <a:avLst/>
                    </a:prstGeom>
                    <a:noFill/>
                    <a:ln>
                      <a:noFill/>
                    </a:ln>
                  </pic:spPr>
                </pic:pic>
              </a:graphicData>
            </a:graphic>
          </wp:inline>
        </w:drawing>
      </w:r>
      <w:r w:rsidRPr="002F5252">
        <w:rPr>
          <w:sz w:val="28"/>
          <w:szCs w:val="28"/>
        </w:rPr>
        <w:fldChar w:fldCharType="end"/>
      </w:r>
    </w:p>
    <w:p w14:paraId="69E21A13" w14:textId="77777777" w:rsidR="007274F1" w:rsidRPr="002F5252" w:rsidRDefault="007274F1" w:rsidP="007274F1">
      <w:pPr>
        <w:pStyle w:val="NormalWeb"/>
        <w:rPr>
          <w:sz w:val="28"/>
          <w:szCs w:val="28"/>
        </w:rPr>
      </w:pPr>
      <w:proofErr w:type="spellStart"/>
      <w:r w:rsidRPr="002F5252">
        <w:rPr>
          <w:sz w:val="28"/>
          <w:szCs w:val="28"/>
        </w:rPr>
        <w:t>YouSaveOurWorld’s</w:t>
      </w:r>
      <w:proofErr w:type="spellEnd"/>
      <w:r w:rsidRPr="002F5252">
        <w:rPr>
          <w:sz w:val="28"/>
          <w:szCs w:val="28"/>
        </w:rPr>
        <w:t xml:space="preserve"> analysis underscores that </w:t>
      </w:r>
      <w:r w:rsidRPr="002F5252">
        <w:rPr>
          <w:rStyle w:val="Strong"/>
          <w:rFonts w:eastAsiaTheme="majorEastAsia"/>
          <w:sz w:val="28"/>
          <w:szCs w:val="28"/>
        </w:rPr>
        <w:t>recycling is indispensable but insufficient alone</w:t>
      </w:r>
      <w:r w:rsidRPr="002F5252">
        <w:rPr>
          <w:sz w:val="28"/>
          <w:szCs w:val="28"/>
        </w:rPr>
        <w:t>. A sustainable future for plastics requires integrated strategies—redesign, reuse, improved waste collection, and global policy alignment. As we move beyond 2025, the lessons and models highlighted here will guide policymakers, industry leaders, and civil society toward a more circular tomorrow.</w:t>
      </w:r>
    </w:p>
    <w:p w14:paraId="220F4BA2" w14:textId="46BB82B8" w:rsidR="007274F1" w:rsidRPr="002F5252" w:rsidRDefault="007274F1" w:rsidP="007274F1">
      <w:pPr>
        <w:pStyle w:val="NormalWeb"/>
        <w:rPr>
          <w:sz w:val="28"/>
          <w:szCs w:val="28"/>
        </w:rPr>
      </w:pPr>
      <w:r w:rsidRPr="002F5252">
        <w:rPr>
          <w:rStyle w:val="Emphasis"/>
          <w:rFonts w:eastAsiaTheme="majorEastAsia"/>
          <w:sz w:val="28"/>
          <w:szCs w:val="28"/>
        </w:rPr>
        <w:t xml:space="preserve">Prepared by the </w:t>
      </w:r>
      <w:proofErr w:type="spellStart"/>
      <w:r w:rsidRPr="002F5252">
        <w:rPr>
          <w:rStyle w:val="Emphasis"/>
          <w:rFonts w:eastAsiaTheme="majorEastAsia"/>
          <w:sz w:val="28"/>
          <w:szCs w:val="28"/>
        </w:rPr>
        <w:t>YouSaveOurWorld</w:t>
      </w:r>
      <w:proofErr w:type="spellEnd"/>
      <w:r w:rsidRPr="002F5252">
        <w:rPr>
          <w:rStyle w:val="Emphasis"/>
          <w:rFonts w:eastAsiaTheme="majorEastAsia"/>
          <w:sz w:val="28"/>
          <w:szCs w:val="28"/>
        </w:rPr>
        <w:t xml:space="preserve"> Research Team, April 2025.</w:t>
      </w:r>
    </w:p>
    <w:p w14:paraId="726B44A7" w14:textId="77777777" w:rsidR="007274F1" w:rsidRPr="002F5252" w:rsidRDefault="007274F1" w:rsidP="001A2E7F">
      <w:pPr>
        <w:pStyle w:val="NormalWeb"/>
        <w:rPr>
          <w:sz w:val="28"/>
          <w:szCs w:val="28"/>
        </w:rPr>
      </w:pPr>
    </w:p>
    <w:sectPr w:rsidR="007274F1" w:rsidRPr="002F52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05171"/>
    <w:multiLevelType w:val="multilevel"/>
    <w:tmpl w:val="5D60C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96A28"/>
    <w:multiLevelType w:val="multilevel"/>
    <w:tmpl w:val="B5C2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B7444"/>
    <w:multiLevelType w:val="multilevel"/>
    <w:tmpl w:val="5488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C4DD6"/>
    <w:multiLevelType w:val="multilevel"/>
    <w:tmpl w:val="8F3E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D263B"/>
    <w:multiLevelType w:val="multilevel"/>
    <w:tmpl w:val="E324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F53C3"/>
    <w:multiLevelType w:val="multilevel"/>
    <w:tmpl w:val="2B90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426BD1"/>
    <w:multiLevelType w:val="multilevel"/>
    <w:tmpl w:val="0A9E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C84E13"/>
    <w:multiLevelType w:val="multilevel"/>
    <w:tmpl w:val="CD94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5862160">
    <w:abstractNumId w:val="3"/>
  </w:num>
  <w:num w:numId="2" w16cid:durableId="1857649869">
    <w:abstractNumId w:val="4"/>
  </w:num>
  <w:num w:numId="3" w16cid:durableId="1937132788">
    <w:abstractNumId w:val="0"/>
  </w:num>
  <w:num w:numId="4" w16cid:durableId="343484913">
    <w:abstractNumId w:val="7"/>
  </w:num>
  <w:num w:numId="5" w16cid:durableId="1565873441">
    <w:abstractNumId w:val="2"/>
  </w:num>
  <w:num w:numId="6" w16cid:durableId="589003710">
    <w:abstractNumId w:val="1"/>
  </w:num>
  <w:num w:numId="7" w16cid:durableId="740979217">
    <w:abstractNumId w:val="6"/>
  </w:num>
  <w:num w:numId="8" w16cid:durableId="64188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7C"/>
    <w:rsid w:val="000B2752"/>
    <w:rsid w:val="00123779"/>
    <w:rsid w:val="00127750"/>
    <w:rsid w:val="001453C7"/>
    <w:rsid w:val="0019677C"/>
    <w:rsid w:val="001A2E7F"/>
    <w:rsid w:val="001F4F6F"/>
    <w:rsid w:val="002F5252"/>
    <w:rsid w:val="004F4010"/>
    <w:rsid w:val="006643B0"/>
    <w:rsid w:val="006D4B0B"/>
    <w:rsid w:val="007274F1"/>
    <w:rsid w:val="007F0BC8"/>
    <w:rsid w:val="008D28C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3ED1707"/>
  <w15:chartTrackingRefBased/>
  <w15:docId w15:val="{E694A2A8-1589-A947-892A-FC6FF23E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750"/>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196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6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67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7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7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7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7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7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7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7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67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967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7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7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7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7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7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77C"/>
    <w:rPr>
      <w:rFonts w:eastAsiaTheme="majorEastAsia" w:cstheme="majorBidi"/>
      <w:color w:val="272727" w:themeColor="text1" w:themeTint="D8"/>
    </w:rPr>
  </w:style>
  <w:style w:type="paragraph" w:styleId="Title">
    <w:name w:val="Title"/>
    <w:basedOn w:val="Normal"/>
    <w:next w:val="Normal"/>
    <w:link w:val="TitleChar"/>
    <w:uiPriority w:val="10"/>
    <w:qFormat/>
    <w:rsid w:val="001967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7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7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677C"/>
    <w:rPr>
      <w:i/>
      <w:iCs/>
      <w:color w:val="404040" w:themeColor="text1" w:themeTint="BF"/>
    </w:rPr>
  </w:style>
  <w:style w:type="paragraph" w:styleId="ListParagraph">
    <w:name w:val="List Paragraph"/>
    <w:basedOn w:val="Normal"/>
    <w:uiPriority w:val="34"/>
    <w:qFormat/>
    <w:rsid w:val="0019677C"/>
    <w:pPr>
      <w:ind w:left="720"/>
      <w:contextualSpacing/>
    </w:pPr>
  </w:style>
  <w:style w:type="character" w:styleId="IntenseEmphasis">
    <w:name w:val="Intense Emphasis"/>
    <w:basedOn w:val="DefaultParagraphFont"/>
    <w:uiPriority w:val="21"/>
    <w:qFormat/>
    <w:rsid w:val="0019677C"/>
    <w:rPr>
      <w:i/>
      <w:iCs/>
      <w:color w:val="0F4761" w:themeColor="accent1" w:themeShade="BF"/>
    </w:rPr>
  </w:style>
  <w:style w:type="paragraph" w:styleId="IntenseQuote">
    <w:name w:val="Intense Quote"/>
    <w:basedOn w:val="Normal"/>
    <w:next w:val="Normal"/>
    <w:link w:val="IntenseQuoteChar"/>
    <w:uiPriority w:val="30"/>
    <w:qFormat/>
    <w:rsid w:val="00196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77C"/>
    <w:rPr>
      <w:i/>
      <w:iCs/>
      <w:color w:val="0F4761" w:themeColor="accent1" w:themeShade="BF"/>
    </w:rPr>
  </w:style>
  <w:style w:type="character" w:styleId="IntenseReference">
    <w:name w:val="Intense Reference"/>
    <w:basedOn w:val="DefaultParagraphFont"/>
    <w:uiPriority w:val="32"/>
    <w:qFormat/>
    <w:rsid w:val="0019677C"/>
    <w:rPr>
      <w:b/>
      <w:bCs/>
      <w:smallCaps/>
      <w:color w:val="0F4761" w:themeColor="accent1" w:themeShade="BF"/>
      <w:spacing w:val="5"/>
    </w:rPr>
  </w:style>
  <w:style w:type="paragraph" w:styleId="NormalWeb">
    <w:name w:val="Normal (Web)"/>
    <w:basedOn w:val="Normal"/>
    <w:uiPriority w:val="99"/>
    <w:unhideWhenUsed/>
    <w:rsid w:val="00127750"/>
    <w:pPr>
      <w:spacing w:before="100" w:beforeAutospacing="1" w:after="100" w:afterAutospacing="1"/>
    </w:pPr>
  </w:style>
  <w:style w:type="character" w:styleId="Strong">
    <w:name w:val="Strong"/>
    <w:basedOn w:val="DefaultParagraphFont"/>
    <w:uiPriority w:val="22"/>
    <w:qFormat/>
    <w:rsid w:val="00127750"/>
    <w:rPr>
      <w:b/>
      <w:bCs/>
    </w:rPr>
  </w:style>
  <w:style w:type="character" w:styleId="HTMLCode">
    <w:name w:val="HTML Code"/>
    <w:basedOn w:val="DefaultParagraphFont"/>
    <w:uiPriority w:val="99"/>
    <w:semiHidden/>
    <w:unhideWhenUsed/>
    <w:rsid w:val="00127750"/>
    <w:rPr>
      <w:rFonts w:ascii="Courier New" w:eastAsia="Times New Roman" w:hAnsi="Courier New" w:cs="Courier New"/>
      <w:sz w:val="20"/>
      <w:szCs w:val="20"/>
    </w:rPr>
  </w:style>
  <w:style w:type="character" w:styleId="Emphasis">
    <w:name w:val="Emphasis"/>
    <w:basedOn w:val="DefaultParagraphFont"/>
    <w:uiPriority w:val="20"/>
    <w:qFormat/>
    <w:rsid w:val="00127750"/>
    <w:rPr>
      <w:i/>
      <w:iCs/>
    </w:rPr>
  </w:style>
  <w:style w:type="character" w:styleId="Hyperlink">
    <w:name w:val="Hyperlink"/>
    <w:basedOn w:val="DefaultParagraphFont"/>
    <w:uiPriority w:val="99"/>
    <w:unhideWhenUsed/>
    <w:rsid w:val="00127750"/>
    <w:rPr>
      <w:color w:val="0000FF"/>
      <w:u w:val="single"/>
    </w:rPr>
  </w:style>
  <w:style w:type="character" w:styleId="UnresolvedMention">
    <w:name w:val="Unresolved Mention"/>
    <w:basedOn w:val="DefaultParagraphFont"/>
    <w:uiPriority w:val="99"/>
    <w:semiHidden/>
    <w:unhideWhenUsed/>
    <w:rsid w:val="002F5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180538">
      <w:bodyDiv w:val="1"/>
      <w:marLeft w:val="0"/>
      <w:marRight w:val="0"/>
      <w:marTop w:val="0"/>
      <w:marBottom w:val="0"/>
      <w:divBdr>
        <w:top w:val="none" w:sz="0" w:space="0" w:color="auto"/>
        <w:left w:val="none" w:sz="0" w:space="0" w:color="auto"/>
        <w:bottom w:val="none" w:sz="0" w:space="0" w:color="auto"/>
        <w:right w:val="none" w:sz="0" w:space="0" w:color="auto"/>
      </w:divBdr>
    </w:div>
    <w:div w:id="1014380603">
      <w:bodyDiv w:val="1"/>
      <w:marLeft w:val="0"/>
      <w:marRight w:val="0"/>
      <w:marTop w:val="0"/>
      <w:marBottom w:val="0"/>
      <w:divBdr>
        <w:top w:val="none" w:sz="0" w:space="0" w:color="auto"/>
        <w:left w:val="none" w:sz="0" w:space="0" w:color="auto"/>
        <w:bottom w:val="none" w:sz="0" w:space="0" w:color="auto"/>
        <w:right w:val="none" w:sz="0" w:space="0" w:color="auto"/>
      </w:divBdr>
      <w:divsChild>
        <w:div w:id="1422337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750422">
      <w:bodyDiv w:val="1"/>
      <w:marLeft w:val="0"/>
      <w:marRight w:val="0"/>
      <w:marTop w:val="0"/>
      <w:marBottom w:val="0"/>
      <w:divBdr>
        <w:top w:val="none" w:sz="0" w:space="0" w:color="auto"/>
        <w:left w:val="none" w:sz="0" w:space="0" w:color="auto"/>
        <w:bottom w:val="none" w:sz="0" w:space="0" w:color="auto"/>
        <w:right w:val="none" w:sz="0" w:space="0" w:color="auto"/>
      </w:divBdr>
    </w:div>
    <w:div w:id="1769547467">
      <w:bodyDiv w:val="1"/>
      <w:marLeft w:val="0"/>
      <w:marRight w:val="0"/>
      <w:marTop w:val="0"/>
      <w:marBottom w:val="0"/>
      <w:divBdr>
        <w:top w:val="none" w:sz="0" w:space="0" w:color="auto"/>
        <w:left w:val="none" w:sz="0" w:space="0" w:color="auto"/>
        <w:bottom w:val="none" w:sz="0" w:space="0" w:color="auto"/>
        <w:right w:val="none" w:sz="0" w:space="0" w:color="auto"/>
      </w:divBdr>
    </w:div>
    <w:div w:id="180153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p.org/resources/report/global-plastics-outlook" TargetMode="External"/><Relationship Id="rId13" Type="http://schemas.openxmlformats.org/officeDocument/2006/relationships/hyperlink" Target="https://www.plasticseurope.org/en" TargetMode="External"/><Relationship Id="rId18" Type="http://schemas.openxmlformats.org/officeDocument/2006/relationships/hyperlink" Target="https://www.breakfreefromplastic.org/" TargetMode="External"/><Relationship Id="rId26" Type="http://schemas.openxmlformats.org/officeDocument/2006/relationships/hyperlink" Target="https://www.pewtrusts.org/en/projects/plastics" TargetMode="External"/><Relationship Id="rId3" Type="http://schemas.openxmlformats.org/officeDocument/2006/relationships/settings" Target="settings.xml"/><Relationship Id="rId21" Type="http://schemas.openxmlformats.org/officeDocument/2006/relationships/hyperlink" Target="https://abiplast.org.br" TargetMode="External"/><Relationship Id="rId7" Type="http://schemas.openxmlformats.org/officeDocument/2006/relationships/hyperlink" Target="https://ourworldindata.org/plastic-pollution" TargetMode="External"/><Relationship Id="rId12" Type="http://schemas.openxmlformats.org/officeDocument/2006/relationships/hyperlink" Target="https://ec.europa.eu/environment/circular-economy" TargetMode="External"/><Relationship Id="rId17" Type="http://schemas.openxmlformats.org/officeDocument/2006/relationships/hyperlink" Target="https://www.dcceew.gov.au/environment/protection/waste/plastics-report" TargetMode="External"/><Relationship Id="rId25" Type="http://schemas.openxmlformats.org/officeDocument/2006/relationships/hyperlink" Target="https://www.plasticpollutioncoalition.org" TargetMode="External"/><Relationship Id="rId2" Type="http://schemas.openxmlformats.org/officeDocument/2006/relationships/styles" Target="styles.xml"/><Relationship Id="rId16" Type="http://schemas.openxmlformats.org/officeDocument/2006/relationships/hyperlink" Target="https://www.reuters.com/world/asia-pacific" TargetMode="External"/><Relationship Id="rId20" Type="http://schemas.openxmlformats.org/officeDocument/2006/relationships/hyperlink" Target="https://www.weforum.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c.europa.eu/eurostat/statistics-explained/index.php/Packaging_waste_statistics" TargetMode="External"/><Relationship Id="rId24" Type="http://schemas.openxmlformats.org/officeDocument/2006/relationships/hyperlink" Target="https://www.unep.org/unea" TargetMode="External"/><Relationship Id="rId5" Type="http://schemas.openxmlformats.org/officeDocument/2006/relationships/image" Target="media/image1.jpeg"/><Relationship Id="rId15" Type="http://schemas.openxmlformats.org/officeDocument/2006/relationships/hyperlink" Target="https://www.greenpeace.org/eastasia" TargetMode="External"/><Relationship Id="rId23" Type="http://schemas.openxmlformats.org/officeDocument/2006/relationships/hyperlink" Target="https://www.nationalgeographic.com/environment/article/plastic-pollution" TargetMode="External"/><Relationship Id="rId28" Type="http://schemas.openxmlformats.org/officeDocument/2006/relationships/fontTable" Target="fontTable.xml"/><Relationship Id="rId10" Type="http://schemas.openxmlformats.org/officeDocument/2006/relationships/hyperlink" Target="https://www.theguardian.com/environment" TargetMode="External"/><Relationship Id="rId19" Type="http://schemas.openxmlformats.org/officeDocument/2006/relationships/hyperlink" Target="https://www.plasticsinfo.co.za" TargetMode="External"/><Relationship Id="rId4" Type="http://schemas.openxmlformats.org/officeDocument/2006/relationships/webSettings" Target="webSettings.xml"/><Relationship Id="rId9" Type="http://schemas.openxmlformats.org/officeDocument/2006/relationships/hyperlink" Target="https://www.oecd.org/environment/plastics" TargetMode="External"/><Relationship Id="rId14" Type="http://schemas.openxmlformats.org/officeDocument/2006/relationships/hyperlink" Target="https://japan-forward.com/plastic-recycling-japan" TargetMode="External"/><Relationship Id="rId22" Type="http://schemas.openxmlformats.org/officeDocument/2006/relationships/hyperlink" Target="https://www.spglobal.com" TargetMode="External"/><Relationship Id="rId27"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2028</Words>
  <Characters>11562</Characters>
  <Application>Microsoft Office Word</Application>
  <DocSecurity>0</DocSecurity>
  <Lines>96</Lines>
  <Paragraphs>27</Paragraphs>
  <ScaleCrop>false</ScaleCrop>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peter@voonx.com</dc:creator>
  <cp:keywords/>
  <dc:description/>
  <cp:lastModifiedBy>peter@voonx.com</cp:lastModifiedBy>
  <cp:revision>9</cp:revision>
  <dcterms:created xsi:type="dcterms:W3CDTF">2025-04-25T07:19:00Z</dcterms:created>
  <dcterms:modified xsi:type="dcterms:W3CDTF">2025-04-25T08:40:00Z</dcterms:modified>
</cp:coreProperties>
</file>